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P851-002-4:2025-C03-W01 / Prepare learning environment</w:t>
            </w:r>
          </w:p>
          <w:p>
            <w:r>
              <w:t>P851-002-4:2025-C03-W02 / Handle pupil's attendance</w:t>
            </w:r>
          </w:p>
          <w:p>
            <w:r>
              <w:t>P851-002-4:2025-C03-W03 / Record classroom inventory</w:t>
            </w:r>
          </w:p>
          <w:p>
            <w:r>
              <w:rPr>
                <w:b/>
              </w:rP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P10</w:t>
      </w:r>
    </w:p>
    <w:p>
      <w:r>
        <w:rPr>
          <w:b/>
        </w:rPr>
        <w:t>JAM PENGETAHUAN:</w:t>
      </w:r>
    </w:p>
    <w:p>
      <w:r>
        <w:t>67.2 j (168 j x 40% pemberat WA)</w:t>
      </w:r>
    </w:p>
    <w:p/>
    <w:p>
      <w:r>
        <w:rPr>
          <w:b/>
        </w:rPr>
        <w:t>TAJUK:</w:t>
      </w:r>
    </w:p>
    <w:p>
      <w:r>
        <w:t>Mengawal Tingkah Laku Murid Prasekolah (Controlling Preschool Pupil's Behaviour)</w:t>
      </w:r>
    </w:p>
    <w:p/>
    <w:p>
      <w:r>
        <w:rPr>
          <w:b/>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
      <w:pPr>
        <w:pStyle w:val="ListParagraph"/>
      </w:pPr>
      <w:r>
        <w:t>• Menjelaskan asas teori tingkah laku dan strategi peneguhan positif (*positive reinforcement*).</w:t>
      </w:r>
    </w:p>
    <w:p/>
    <w:p>
      <w:pPr>
        <w:pStyle w:val="ListParagraph"/>
      </w:pPr>
      <w:r>
        <w:t>• Mengamalkan nilai murni dalam interaksi harian dengan murid.</w:t>
      </w:r>
    </w:p>
    <w:p/>
    <w:p>
      <w:pPr>
        <w:pStyle w:val="ListParagraph"/>
      </w:pPr>
      <w:r>
        <w:t>• Menggunakan teknik komunikasi berkesan untuk membina dan mengekalkan peraturan bilik darjah.</w:t>
      </w:r>
    </w:p>
    <w:p/>
    <w:p>
      <w:pPr>
        <w:pStyle w:val="ListParagraph"/>
      </w:pPr>
      <w:r>
        <w:t>• Mempamerkan peraturan bilik darjah menggunakan visual dan bahasa yang sesuai umur murid.</w:t>
      </w:r>
    </w:p>
    <w:p>
      <w:pPr>
        <w:keepNext/>
      </w:pPr>
      <w:r>
        <w:rPr>
          <w:b/>
          <w:sz w:val="24"/>
        </w:rPr>
        <w:t>Kandungan nota ini:</w:t>
      </w:r>
    </w:p>
    <w:p/>
    <w:p>
      <w:pPr>
        <w:pStyle w:val="ListParagraph"/>
      </w:pPr>
      <w:r>
        <w:t>• Bab 1: Fundamental of pupil's behaviour theory (Behavioural theory; Pupil's behaviour; Positive reinforcement strategies; Reward and punishment)</w:t>
      </w:r>
    </w:p>
    <w:p/>
    <w:p>
      <w:pPr>
        <w:pStyle w:val="ListParagraph"/>
      </w:pPr>
      <w:r>
        <w:t>• Bab 2: Values practices</w:t>
      </w:r>
    </w:p>
    <w:p/>
    <w:p>
      <w:pPr>
        <w:pStyle w:val="ListParagraph"/>
      </w:pPr>
      <w:r>
        <w:t>• Bab 3: Effective communication (Introduction basic communication theory; Verbal communication; Non-verbal communication; Active listening; Speaking manner)</w:t>
      </w:r>
    </w:p>
    <w:p/>
    <w:p/>
    <w:p>
      <w:r>
        <w:rPr>
          <w:b/>
        </w:rPr>
        <w:t>PENERANGAN:</w:t>
      </w:r>
    </w:p>
    <w:p>
      <w:pPr>
        <w:pageBreakBefore/>
        <w:shd w:val="clear" w:color="auto" w:fill="D9D9D9"/>
      </w:pPr>
      <w:r>
        <w:rPr>
          <w:rFonts w:ascii="Arial" w:hAnsi="Arial"/>
          <w:b/>
          <w:sz w:val="28"/>
        </w:rPr>
        <w:t>Bab 1: Fundamental of pupil's behaviour theory (Behavioural theory; Pupil's behaviour; Positive reinforcement strategies; Reward and punishment)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teori tingkah laku asas yang berkaitan dengan kanak-kanak prasekolah.</w:t>
            </w:r>
          </w:p>
          <w:p/>
          <w:p>
            <w:r>
              <w:rPr>
                <w:rFonts w:ascii="Arial" w:hAnsi="Arial"/>
                <w:sz w:val="22"/>
              </w:rPr>
              <w:t>• Mengenal pasti ciri tingkah laku biasa murid mengikut peringkat umur.</w:t>
            </w:r>
          </w:p>
          <w:p/>
          <w:p>
            <w:r>
              <w:rPr>
                <w:rFonts w:ascii="Arial" w:hAnsi="Arial"/>
                <w:sz w:val="22"/>
              </w:rPr>
              <w:t>• Menerangkan strategi peneguhan positif dan membezakannya daripada hukuman.</w:t>
            </w:r>
          </w:p>
        </w:tc>
      </w:tr>
    </w:tbl>
    <w:p>
      <w:pPr>
        <w:keepNext/>
      </w:pPr>
      <w:r>
        <w:rPr>
          <w:b/>
          <w:sz w:val="24"/>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 Kedua-dua teori ini bukan bersaing tetapi saling melengkapi: Skinner menjelaskan MENGAPA sesuatu tingkah laku berterusan (kerana ia diteguhkan oleh akibatnya), manakala Bandura menjelaskan DARI MANA tingkah laku baharu itu diperoleh buat kali pertama (melalui pemerhatian). Bagi guru prasekolah, implikasi praktikal gabungan kedua-dua teori ini ialah: pertama, guru perlu sedar bahawa tindak balasnya sendiri terhadap tingkah laku murid (walaupun tidak disengajakan) boleh menjadi peneguh; kedua, guru mesti sentiasa sedar bahawa dirinya sendiri sedang "diperhatikan dan ditiru" sepanjang masa berada dalam bilik darjah, termasuk semasa berinteraksi dengan guru atau pembantu lain.</w:t>
      </w:r>
    </w:p>
    <w:p>
      <w:pPr>
        <w:keepNext/>
      </w:pPr>
      <w:r>
        <w:rPr>
          <w:b/>
          <w:sz w:val="24"/>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 Dari segi perkembangan kanak-kanak, kawasan otak yang bertanggungjawab bagi kawalan diri dan kawalan impuls (*prefrontal cortex*) masih dalam proses pembentukan pada usia ini, jauh lebih perlahan berbanding kawasan otak yang mengawal emosi (*amygdala*). Ini bermakna murid prasekolah secara neurologi lebih mudah "dikuasai emosi" berbanding kanak-kanak lebih dewasa atau orang dewasa, dan tidak boleh dijangka mengawal reaksi emosi mereka dengan cara yang sama seperti murid sekolah rendah. Guru yang memahami hakikat perkembangan ini akan bersikap lebih sabar dan realistik dalam menetapkan jangkaan tingkah laku, serta memberi tumpuan kepada MEMBIMBING kemahiran kawalan diri secara beransur-ansur, bukan mengharapkan pematuhan sempurna serta-merta.</w:t>
      </w:r>
    </w:p>
    <w:p>
      <w:pPr>
        <w:keepNext/>
      </w:pPr>
      <w:r>
        <w:rPr>
          <w:b/>
          <w:sz w:val="24"/>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 Terdapat perbezaan penting antara pujian umum dan pujian spesifik: pujian umum seperti "Bagus!" atau "Pandai!" tidak memberitahu murid dengan tepat tingkah laku mana yang diiktiraf, manakala pujian spesifik seperti contoh di atas menamakan dengan jelas tindakan yang dihargai, membolehkan murid mengulangi tingkah laku itu secara sedar. Selain pujian spesifik, guru boleh menggunakan pelbagai bentuk peneguhan mengikut situasi: peneguhan sosial (senyuman, tepukan bahu, pujian lisan), peneguhan bahan (pelekat, sijil mini), dan peneguhan aktiviti (masa istimewa memilih aktiviti kegemaran, peluang membantu guru). Peneguhan sosial digalakkan sebagai pilihan utama kerana ia tidak bergantung kepada objek fizikal dan boleh diberikan dengan segera pada bila-bila masa, manakala peneguhan bahan sesuai digunakan sekali-sekala untuk mengukuhkan pencapaian yang lebih besar.</w:t>
      </w:r>
    </w:p>
    <w:p>
      <w:pPr>
        <w:keepNext/>
      </w:pPr>
      <w:r>
        <w:rPr>
          <w:b/>
          <w:sz w:val="24"/>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 Prinsip "sepadan dan segera" ini penting kerana murid prasekolah masih mempunyai kefahaman masa yang terhad — ganjaran yang diberi lewat (contoh: dijanjikan pada hujung minggu bagi tingkah laku pagi tadi) kurang berkesan berbanding pengiktirafan serta-merta. Guru juga perlu berhati-hati supaya ganjaran tidak menjadi bentuk "rasuah" (*bribery*) — iaitu menawarkan ganjaran SEBELUM tingkah laku ditunjukkan sebagai rundingan ("kalau awak diam, nanti dapat gula-gula"), berbanding memberi pengiktirafan SELEPAS tingkah laku baik ditunjukkan secara tulen. Amalan terbaik ialah menggunakan ganjaran secara terancang dan dikurangkan secara beransur-ansur (*fading*) apabila tingkah laku positif sudah menjadi kebiasaan, supaya murid akhirnya mengamalkan tingkah laku baik atas motivasi dalaman, bukan semata-mata untuk mendapat ganjaran luaran.</w:t>
      </w:r>
    </w:p>
    <w:p>
      <w:pPr>
        <w:keepNext/>
      </w:pPr>
      <w:r>
        <w:rPr>
          <w:b/>
          <w:sz w:val="24"/>
        </w:rPr>
        <w:t>5. Latar Belakang Teori dan Definisi Asas</w:t>
      </w:r>
    </w:p>
    <w:p>
      <w:r>
        <w:t>Sebelum guru boleh mengaplikasikan sebarang strategi pengurusan tingkah laku, beberapa istilah dan konsep asas perlu difahami dengan tepat supaya amalan di dalam bilik darjah sentiasa selaras dengan undang-undang dan garis panduan rasmi.</w:t>
      </w:r>
    </w:p>
    <w:p/>
    <w:p>
      <w:pPr>
        <w:pStyle w:val="ListParagraph"/>
      </w:pPr>
      <w:r>
        <w:t>• Behaviour* (tingkah laku) — sebarang tindakan yang boleh diperhatikan (*observable*) dan diukur yang ditunjukkan oleh murid, sama ada positif (contoh: berkongsi, menunggu giliran) atau mencabar (contoh: menjerit, merampas mainan).</w:t>
      </w:r>
    </w:p>
    <w:p/>
    <w:p>
      <w:pPr>
        <w:pStyle w:val="ListParagraph"/>
      </w:pPr>
      <w:r>
        <w:t>• Positive reinforcement* (peneguhan positif) — pemberian rangsangan yang menyenangkan sejurus selepas tingkah laku yang dikehendaki, bertujuan meningkatkan kebarangkalian tingkah laku itu berulang.</w:t>
      </w:r>
    </w:p>
    <w:p/>
    <w:p>
      <w:pPr>
        <w:pStyle w:val="ListParagraph"/>
      </w:pPr>
      <w:r>
        <w:t>• Negative reinforcement* (peneguhan negatif) — berbeza daripada hukuman; ia melibatkan pengeluaran sesuatu yang tidak menyenangkan apabila tingkah laku yang dikehendaki ditunjukkan (contoh: mengurangkan pengawasan rapat apabila murid menunjukkan kerjasama).</w:t>
      </w:r>
    </w:p>
    <w:p/>
    <w:p>
      <w:pPr>
        <w:pStyle w:val="ListParagraph"/>
      </w:pPr>
      <w:r>
        <w:t>• Punishment* (hukuman) — pemberian akibat tidak menyenangkan atau pengeluaran sesuatu yang disukai murid bagi mengurangkan tingkah laku tidak dikehendaki; dalam konteks prasekolah Malaysia, hukuman mesti sentiasa bukan fizikal dan berperikemanusiaan.</w:t>
      </w:r>
    </w:p>
    <w:p/>
    <w:p>
      <w:pPr>
        <w:pStyle w:val="ListParagraph"/>
      </w:pPr>
      <w:r>
        <w:t>• Self-regulation* (kawalan kendiri) — kebolehan murid mengurus emosi, tumpuan dan tingkah laku sendiri mengikut situasi; kemahiran ini masih berkembang pada usia 4–6 tahun dan menjadi matlamat jangka panjang pengurusan tingkah laku, bukan sekadar pematuhan segera.</w:t>
      </w:r>
    </w:p>
    <w:p>
      <w:r>
        <w:t>Rangka teori ini bersandarkan dua aliran psikologi pendidikan yang saling melengkapi. Pertama, aliran behavioris (Skinner) memberi tumpuan kepada akibat luaran (*external consequences*) yang membentuk tingkah laku — iaitu, apa yang berlaku *selepas* tingkah laku itu menentukan sama ada ia berulang. Kedua, aliran kognitif-sosial (Bandura) menambah dimensi pemerhatian dan pemodelan — murid turut belajar tingkah laku dengan memerhati orang dewasa dan rakan sebaya tanpa perlu mengalami akibat sendiri terlebih dahulu (*vicarious learning*). Kefahaman guru terhadap KEDUA-DUA teori ini penting kerana ia menjelaskan mengapa pendekatan yang hanya menumpu kepada "ganjaran-hukuman" tidak mencukupi — guru sendiri, sebagai model tingkah laku yang paling kerap diperhatikan murid sepanjang hari, mesti sentiasa mempamerkan tingkah laku tenang, adil dan hormat yang ingin dibentuk pada murid.</w:t>
      </w:r>
    </w:p>
    <w:p>
      <w:r>
        <w:t>Dari segi rangka perundangan dan dasar, Kurikulum Standard Prasekolah Kebangsaan (KSPK) 2017 Semakan menggariskan bahawa pembelajaran murid prasekolah mesti berlaku dalam persekitaran yang selamat, positif dan menyeronokkan — pengurusan tingkah laku bukanlah aktiviti berasingan daripada pengajaran, tetapi sebahagian daripada reka bentuk persekitaran pembelajaran itu sendiri. Akta Kanak-Kanak 2001 (Akta 611) menetapkan tanggungjawab penjaga (termasuk guru prasekolah semasa murid berada di bawah jagaan tadika) untuk melindungi kanak-kanak daripada kecederaan fizikal dan emosi; Sexual Offences Against Children Act 2017 (Pindaan 2023) pula memperkukuhkan lagi perlindungan kanak-kanak daripada sebarang bentuk penderaan. Kedua-dua akta ini secara langsung menyokong larangan mutlak terhadap hukuman fizikal yang dinyatakan di sub-tajuk 4 di atas.</w:t>
      </w:r>
    </w:p>
    <w:p>
      <w:pPr>
        <w:keepNext/>
      </w:pPr>
      <w:r>
        <w:rPr>
          <w:b/>
          <w:sz w:val="24"/>
        </w:rPr>
        <w:t>6. Prosedur Langkah Demi Langkah: Merekod dan Menganalisis Tingkah Laku (ABC)</w:t>
      </w:r>
    </w:p>
    <w:p>
      <w:r>
        <w:t>Apabila seorang murid menunjukkan tingkah laku mencabar secara berulang, guru perlu mengaplikasikan kaedah rekod ABC (*Antecedent–Behaviour–Consequence*) secara sistematik sebelum bertindak, bukan bertindak balas secara spontan tanpa memahami punca.</w:t>
      </w:r>
    </w:p>
    <w:p/>
    <w:p>
      <w:pPr>
        <w:pStyle w:val="ListParagraph"/>
      </w:pPr>
      <w:r>
        <w:t>Langkah 1 — Perhatikan dan kenal pasti Antecedent (pencetus). Catat apa yang berlaku SEBELUM tingkah laku itu muncul — contohnya, adakah ia berlaku semasa peralihan aktiviti, selepas murid keletihan, atau apabila mainan tertentu tiada giliran?</w:t>
      </w:r>
    </w:p>
    <w:p/>
    <w:p>
      <w:pPr>
        <w:pStyle w:val="ListParagraph"/>
      </w:pPr>
      <w:r>
        <w:t>Langkah 2 — Huraikan Behaviour (tingkah laku) secara objektif. Elakkan label seperti "nakal"; sebaliknya catat tindakan sebenar — contohnya "menolak rakan sebelah dan menjerit selama kira-kira 30 saat".</w:t>
      </w:r>
    </w:p>
    <w:p/>
    <w:p>
      <w:pPr>
        <w:pStyle w:val="ListParagraph"/>
      </w:pPr>
      <w:r>
        <w:t>Langkah 3 — Catat Consequence (akibat) serta-merta. Apakah reaksi guru dan rakan sebaya sejurus selepas tingkah laku itu — adakah murid mendapat perhatian, dapat mengelak tugasan, atau memperoleh objek yang diingini?</w:t>
      </w:r>
    </w:p>
    <w:p/>
    <w:p>
      <w:pPr>
        <w:pStyle w:val="ListParagraph"/>
      </w:pPr>
      <w:r>
        <w:t>Langkah 4 — Kenal pasti corak (pattern). Selepas 3–5 catatan, guru menyemak sama ada terdapat corak berulang pada pencetus atau akibat — pola ini membantu guru menentukan FUNGSI tingkah laku (untuk mendapat perhatian, untuk mengelak sesuatu, untuk mendapatkan objek, atau kepuasan deria/sensori).</w:t>
      </w:r>
    </w:p>
    <w:p/>
    <w:p>
      <w:pPr>
        <w:pStyle w:val="ListParagraph"/>
      </w:pPr>
      <w:r>
        <w:t>Langkah 5 — Rangka intervensi berasaskan fungsi. Jika fungsi tingkah laku ialah "mencari perhatian", guru memberi perhatian positif LEBIH KERAP semasa murid berkelakuan baik dan mengurangkan perhatian (tanpa mengabaikan keselamatan) semasa tingkah laku mencabar yang tidak berbahaya.</w:t>
      </w:r>
    </w:p>
    <w:p/>
    <w:p>
      <w:pPr>
        <w:pStyle w:val="ListParagraph"/>
      </w:pPr>
      <w:r>
        <w:t>Langkah 6 — Pantau dan semak semula. Selepas intervensi dilaksanakan selama tempoh yang munasabah (contoh: dua minggu), guru menyemak sama ada kekerapan tingkah laku itu berkurangan; jika tidak, guru berbincang dengan prinsipal atau merujuk kepada ibu bapa untuk sokongan lanjut.</w:t>
      </w:r>
    </w:p>
    <w:p>
      <w:r>
        <w:t>Kaedah ABC ini berasal daripada disiplin analisis tingkah laku gunaan (*Applied Behaviour Analysis*, ABA) yang digunakan secara meluas dalam pendidikan awal kanak-kanak dan pendidikan khas, tetapi versi ringkas yang sesuai untuk guru prasekolah arus perdana tidak memerlukan latihan klinikal — ia cukup dengan borang mudah dan pemerhatian jujur. Kelebihan utama kaedah ini berbanding tindak balas spontan ialah ia mengalihkan fokus guru daripada "menghukum tingkah laku" kepada "memahami sebab tingkah laku itu berlaku", yang secara langsung lebih selaras dengan pendekatan berperikemanusiaan yang dikehendaki dalam CoCU ini.</w:t>
      </w:r>
    </w:p>
    <w:p>
      <w:pPr>
        <w:keepNext/>
      </w:pPr>
      <w:r>
        <w:rPr>
          <w:b/>
          <w:sz w:val="24"/>
        </w:rPr>
        <w:t>Jadual: Contoh Rekod ABC Ringkas</w:t>
      </w:r>
    </w:p>
    <w:tbl>
      <w:tblPr>
        <w:tblStyle w:val="TableGrid"/>
        <w:tblW w:type="auto" w:w="0"/>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9D9D9"/>
          </w:tcPr>
          <w:p>
            <w:r>
              <w:rPr>
                <w:rFonts w:ascii="Arial" w:hAnsi="Arial"/>
                <w:b/>
                <w:sz w:val="20"/>
              </w:rPr>
              <w:t>Masa</w:t>
            </w:r>
          </w:p>
        </w:tc>
        <w:tc>
          <w:tcPr>
            <w:tcW w:type="dxa" w:w="1863"/>
            <w:shd w:val="clear" w:color="auto" w:fill="D9D9D9"/>
          </w:tcPr>
          <w:p>
            <w:r>
              <w:rPr>
                <w:rFonts w:ascii="Arial" w:hAnsi="Arial"/>
                <w:b/>
                <w:sz w:val="20"/>
              </w:rPr>
              <w:t>Antecedent (Pencetus)</w:t>
            </w:r>
          </w:p>
        </w:tc>
        <w:tc>
          <w:tcPr>
            <w:tcW w:type="dxa" w:w="1863"/>
            <w:shd w:val="clear" w:color="auto" w:fill="D9D9D9"/>
          </w:tcPr>
          <w:p>
            <w:r>
              <w:rPr>
                <w:rFonts w:ascii="Arial" w:hAnsi="Arial"/>
                <w:b/>
                <w:sz w:val="20"/>
              </w:rPr>
              <w:t>Behaviour (Tingkah Laku)</w:t>
            </w:r>
          </w:p>
        </w:tc>
        <w:tc>
          <w:tcPr>
            <w:tcW w:type="dxa" w:w="1863"/>
            <w:shd w:val="clear" w:color="auto" w:fill="D9D9D9"/>
          </w:tcPr>
          <w:p>
            <w:r>
              <w:rPr>
                <w:rFonts w:ascii="Arial" w:hAnsi="Arial"/>
                <w:b/>
                <w:sz w:val="20"/>
              </w:rPr>
              <w:t>Consequence (Akibat)</w:t>
            </w:r>
          </w:p>
        </w:tc>
        <w:tc>
          <w:tcPr>
            <w:tcW w:type="dxa" w:w="1863"/>
            <w:shd w:val="clear" w:color="auto" w:fill="D9D9D9"/>
          </w:tcPr>
          <w:p>
            <w:r>
              <w:rPr>
                <w:rFonts w:ascii="Arial" w:hAnsi="Arial"/>
                <w:b/>
                <w:sz w:val="20"/>
              </w:rPr>
              <w:t>Fungsi Dijangka</w:t>
            </w:r>
          </w:p>
        </w:tc>
      </w:tr>
      <w:tr>
        <w:tc>
          <w:tcPr>
            <w:tcW w:type="dxa" w:w="1863"/>
          </w:tcPr>
          <w:p>
            <w:r>
              <w:rPr>
                <w:rFonts w:ascii="Arial" w:hAnsi="Arial"/>
                <w:sz w:val="20"/>
              </w:rPr>
              <w:t>9.15 pagi</w:t>
            </w:r>
          </w:p>
        </w:tc>
        <w:tc>
          <w:tcPr>
            <w:tcW w:type="dxa" w:w="1863"/>
          </w:tcPr>
          <w:p>
            <w:r>
              <w:rPr>
                <w:rFonts w:ascii="Arial" w:hAnsi="Arial"/>
                <w:sz w:val="20"/>
              </w:rPr>
              <w:t>Peralihan daripada masa bebas ke masa litar (circle time)</w:t>
            </w:r>
          </w:p>
        </w:tc>
        <w:tc>
          <w:tcPr>
            <w:tcW w:type="dxa" w:w="1863"/>
          </w:tcPr>
          <w:p>
            <w:r>
              <w:rPr>
                <w:rFonts w:ascii="Arial" w:hAnsi="Arial"/>
                <w:sz w:val="20"/>
              </w:rPr>
              <w:t>Murid menangis dan enggan duduk</w:t>
            </w:r>
          </w:p>
        </w:tc>
        <w:tc>
          <w:tcPr>
            <w:tcW w:type="dxa" w:w="1863"/>
          </w:tcPr>
          <w:p>
            <w:r>
              <w:rPr>
                <w:rFonts w:ascii="Arial" w:hAnsi="Arial"/>
                <w:sz w:val="20"/>
              </w:rPr>
              <w:t>Guru memberi perhatian individu dan memeluk murid</w:t>
            </w:r>
          </w:p>
        </w:tc>
        <w:tc>
          <w:tcPr>
            <w:tcW w:type="dxa" w:w="1863"/>
          </w:tcPr>
          <w:p>
            <w:r>
              <w:rPr>
                <w:rFonts w:ascii="Arial" w:hAnsi="Arial"/>
                <w:sz w:val="20"/>
              </w:rPr>
              <w:t>Mencari perhatian / kesukaran peralihan</w:t>
            </w:r>
          </w:p>
        </w:tc>
      </w:tr>
      <w:tr>
        <w:tc>
          <w:tcPr>
            <w:tcW w:type="dxa" w:w="1863"/>
          </w:tcPr>
          <w:p>
            <w:r>
              <w:rPr>
                <w:rFonts w:ascii="Arial" w:hAnsi="Arial"/>
                <w:sz w:val="20"/>
              </w:rPr>
              <w:t>10.40 pagi</w:t>
            </w:r>
          </w:p>
        </w:tc>
        <w:tc>
          <w:tcPr>
            <w:tcW w:type="dxa" w:w="1863"/>
          </w:tcPr>
          <w:p>
            <w:r>
              <w:rPr>
                <w:rFonts w:ascii="Arial" w:hAnsi="Arial"/>
                <w:sz w:val="20"/>
              </w:rPr>
              <w:t>Rakan mengambil blok yang sedang digunakan</w:t>
            </w:r>
          </w:p>
        </w:tc>
        <w:tc>
          <w:tcPr>
            <w:tcW w:type="dxa" w:w="1863"/>
          </w:tcPr>
          <w:p>
            <w:r>
              <w:rPr>
                <w:rFonts w:ascii="Arial" w:hAnsi="Arial"/>
                <w:sz w:val="20"/>
              </w:rPr>
              <w:t>Murid menjerit dan menolak rakan</w:t>
            </w:r>
          </w:p>
        </w:tc>
        <w:tc>
          <w:tcPr>
            <w:tcW w:type="dxa" w:w="1863"/>
          </w:tcPr>
          <w:p>
            <w:r>
              <w:rPr>
                <w:rFonts w:ascii="Arial" w:hAnsi="Arial"/>
                <w:sz w:val="20"/>
              </w:rPr>
              <w:t>Rakan melepaskan blok, murid terus bermain</w:t>
            </w:r>
          </w:p>
        </w:tc>
        <w:tc>
          <w:tcPr>
            <w:tcW w:type="dxa" w:w="1863"/>
          </w:tcPr>
          <w:p>
            <w:r>
              <w:rPr>
                <w:rFonts w:ascii="Arial" w:hAnsi="Arial"/>
                <w:sz w:val="20"/>
              </w:rPr>
              <w:t>Mendapatkan objek</w:t>
            </w:r>
          </w:p>
        </w:tc>
      </w:tr>
      <w:tr>
        <w:tc>
          <w:tcPr>
            <w:tcW w:type="dxa" w:w="1863"/>
          </w:tcPr>
          <w:p>
            <w:r>
              <w:rPr>
                <w:rFonts w:ascii="Arial" w:hAnsi="Arial"/>
                <w:sz w:val="20"/>
              </w:rPr>
              <w:t>11.20 pagi</w:t>
            </w:r>
          </w:p>
        </w:tc>
        <w:tc>
          <w:tcPr>
            <w:tcW w:type="dxa" w:w="1863"/>
          </w:tcPr>
          <w:p>
            <w:r>
              <w:rPr>
                <w:rFonts w:ascii="Arial" w:hAnsi="Arial"/>
                <w:sz w:val="20"/>
              </w:rPr>
              <w:t>Diminta mengemas selepas aktiviti seni</w:t>
            </w:r>
          </w:p>
        </w:tc>
        <w:tc>
          <w:tcPr>
            <w:tcW w:type="dxa" w:w="1863"/>
          </w:tcPr>
          <w:p>
            <w:r>
              <w:rPr>
                <w:rFonts w:ascii="Arial" w:hAnsi="Arial"/>
                <w:sz w:val="20"/>
              </w:rPr>
              <w:t>Murid berlari keluar bilik</w:t>
            </w:r>
          </w:p>
        </w:tc>
        <w:tc>
          <w:tcPr>
            <w:tcW w:type="dxa" w:w="1863"/>
          </w:tcPr>
          <w:p>
            <w:r>
              <w:rPr>
                <w:rFonts w:ascii="Arial" w:hAnsi="Arial"/>
                <w:sz w:val="20"/>
              </w:rPr>
              <w:t>Guru mengejar dan menegur, tugasan ditangguhkan</w:t>
            </w:r>
          </w:p>
        </w:tc>
        <w:tc>
          <w:tcPr>
            <w:tcW w:type="dxa" w:w="1863"/>
          </w:tcPr>
          <w:p>
            <w:r>
              <w:rPr>
                <w:rFonts w:ascii="Arial" w:hAnsi="Arial"/>
                <w:sz w:val="20"/>
              </w:rPr>
              <w:t>Mengelak tugasan</w:t>
            </w:r>
          </w:p>
        </w:tc>
      </w:tr>
    </w:tbl>
    <w:p>
      <w:pPr>
        <w:keepNext/>
      </w:pPr>
      <w:r>
        <w:rPr>
          <w:b/>
          <w:sz w:val="24"/>
        </w:rPr>
        <w:t>7. Tangga Eskalasi (Escalation Ladder) bagi Tingkah Laku Berterusan</w:t>
      </w:r>
    </w:p>
    <w:p>
      <w:r>
        <w:t>Apabila tingkah laku mencabar berterusan walaupun peneguhan positif telah digunakan secara konsisten, guru mengikut tangga eskalasi berperingkat berikut — bukan terus melompat ke tindakan paling serius.</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Peringkat</w:t>
            </w:r>
          </w:p>
        </w:tc>
        <w:tc>
          <w:tcPr>
            <w:tcW w:type="dxa" w:w="3104"/>
            <w:shd w:val="clear" w:color="auto" w:fill="D9D9D9"/>
          </w:tcPr>
          <w:p>
            <w:r>
              <w:rPr>
                <w:rFonts w:ascii="Arial" w:hAnsi="Arial"/>
                <w:b/>
                <w:sz w:val="20"/>
              </w:rPr>
              <w:t>Tindakan Guru</w:t>
            </w:r>
          </w:p>
        </w:tc>
        <w:tc>
          <w:tcPr>
            <w:tcW w:type="dxa" w:w="3104"/>
            <w:shd w:val="clear" w:color="auto" w:fill="D9D9D9"/>
          </w:tcPr>
          <w:p>
            <w:r>
              <w:rPr>
                <w:rFonts w:ascii="Arial" w:hAnsi="Arial"/>
                <w:b/>
                <w:sz w:val="20"/>
              </w:rPr>
              <w:t>Bila Digunakan</w:t>
            </w:r>
          </w:p>
        </w:tc>
      </w:tr>
      <w:tr>
        <w:tc>
          <w:tcPr>
            <w:tcW w:type="dxa" w:w="3104"/>
          </w:tcPr>
          <w:p>
            <w:r>
              <w:rPr>
                <w:rFonts w:ascii="Arial" w:hAnsi="Arial"/>
                <w:sz w:val="20"/>
              </w:rPr>
              <w:t>1</w:t>
            </w:r>
          </w:p>
        </w:tc>
        <w:tc>
          <w:tcPr>
            <w:tcW w:type="dxa" w:w="3104"/>
          </w:tcPr>
          <w:p>
            <w:r>
              <w:rPr>
                <w:rFonts w:ascii="Arial" w:hAnsi="Arial"/>
                <w:sz w:val="20"/>
              </w:rPr>
              <w:t>Isyarat bukan lisan (kontak mata, isyarat tangan)</w:t>
            </w:r>
          </w:p>
        </w:tc>
        <w:tc>
          <w:tcPr>
            <w:tcW w:type="dxa" w:w="3104"/>
          </w:tcPr>
          <w:p>
            <w:r>
              <w:rPr>
                <w:rFonts w:ascii="Arial" w:hAnsi="Arial"/>
                <w:sz w:val="20"/>
              </w:rPr>
              <w:t>Tingkah laku ringan, baru bermula</w:t>
            </w:r>
          </w:p>
        </w:tc>
      </w:tr>
      <w:tr>
        <w:tc>
          <w:tcPr>
            <w:tcW w:type="dxa" w:w="3104"/>
          </w:tcPr>
          <w:p>
            <w:r>
              <w:rPr>
                <w:rFonts w:ascii="Arial" w:hAnsi="Arial"/>
                <w:sz w:val="20"/>
              </w:rPr>
              <w:t>2</w:t>
            </w:r>
          </w:p>
        </w:tc>
        <w:tc>
          <w:tcPr>
            <w:tcW w:type="dxa" w:w="3104"/>
          </w:tcPr>
          <w:p>
            <w:r>
              <w:rPr>
                <w:rFonts w:ascii="Arial" w:hAnsi="Arial"/>
                <w:sz w:val="20"/>
              </w:rPr>
              <w:t>Peringatan lisan positif secara individu, dekat dengan murid</w:t>
            </w:r>
          </w:p>
        </w:tc>
        <w:tc>
          <w:tcPr>
            <w:tcW w:type="dxa" w:w="3104"/>
          </w:tcPr>
          <w:p>
            <w:r>
              <w:rPr>
                <w:rFonts w:ascii="Arial" w:hAnsi="Arial"/>
                <w:sz w:val="20"/>
              </w:rPr>
              <w:t>Tingkah laku berterusan selepas isyarat</w:t>
            </w:r>
          </w:p>
        </w:tc>
      </w:tr>
      <w:tr>
        <w:tc>
          <w:tcPr>
            <w:tcW w:type="dxa" w:w="3104"/>
          </w:tcPr>
          <w:p>
            <w:r>
              <w:rPr>
                <w:rFonts w:ascii="Arial" w:hAnsi="Arial"/>
                <w:sz w:val="20"/>
              </w:rPr>
              <w:t>3</w:t>
            </w:r>
          </w:p>
        </w:tc>
        <w:tc>
          <w:tcPr>
            <w:tcW w:type="dxa" w:w="3104"/>
          </w:tcPr>
          <w:p>
            <w:r>
              <w:rPr>
                <w:rFonts w:ascii="Arial" w:hAnsi="Arial"/>
                <w:sz w:val="20"/>
              </w:rPr>
              <w:t>Alih perhatian (*redirection*) kepada aktiviti/objek lain</w:t>
            </w:r>
          </w:p>
        </w:tc>
        <w:tc>
          <w:tcPr>
            <w:tcW w:type="dxa" w:w="3104"/>
          </w:tcPr>
          <w:p>
            <w:r>
              <w:rPr>
                <w:rFonts w:ascii="Arial" w:hAnsi="Arial"/>
                <w:sz w:val="20"/>
              </w:rPr>
              <w:t>Tingkah laku berpunca daripada kebosanan/tumpuan hilang</w:t>
            </w:r>
          </w:p>
        </w:tc>
      </w:tr>
      <w:tr>
        <w:tc>
          <w:tcPr>
            <w:tcW w:type="dxa" w:w="3104"/>
          </w:tcPr>
          <w:p>
            <w:r>
              <w:rPr>
                <w:rFonts w:ascii="Arial" w:hAnsi="Arial"/>
                <w:sz w:val="20"/>
              </w:rPr>
              <w:t>4</w:t>
            </w:r>
          </w:p>
        </w:tc>
        <w:tc>
          <w:tcPr>
            <w:tcW w:type="dxa" w:w="3104"/>
          </w:tcPr>
          <w:p>
            <w:r>
              <w:rPr>
                <w:rFonts w:ascii="Arial" w:hAnsi="Arial"/>
                <w:sz w:val="20"/>
              </w:rPr>
              <w:t>Masa rehat berpandu (*guided time-out*) 1–2 minit berdekatan guru, bukan pengasingan</w:t>
            </w:r>
          </w:p>
        </w:tc>
        <w:tc>
          <w:tcPr>
            <w:tcW w:type="dxa" w:w="3104"/>
          </w:tcPr>
          <w:p>
            <w:r>
              <w:rPr>
                <w:rFonts w:ascii="Arial" w:hAnsi="Arial"/>
                <w:sz w:val="20"/>
              </w:rPr>
              <w:t>Tingkah laku mengganggu keselamatan/rakan lain</w:t>
            </w:r>
          </w:p>
        </w:tc>
      </w:tr>
      <w:tr>
        <w:tc>
          <w:tcPr>
            <w:tcW w:type="dxa" w:w="3104"/>
          </w:tcPr>
          <w:p>
            <w:r>
              <w:rPr>
                <w:rFonts w:ascii="Arial" w:hAnsi="Arial"/>
                <w:sz w:val="20"/>
              </w:rPr>
              <w:t>5</w:t>
            </w:r>
          </w:p>
        </w:tc>
        <w:tc>
          <w:tcPr>
            <w:tcW w:type="dxa" w:w="3104"/>
          </w:tcPr>
          <w:p>
            <w:r>
              <w:rPr>
                <w:rFonts w:ascii="Arial" w:hAnsi="Arial"/>
                <w:sz w:val="20"/>
              </w:rPr>
              <w:t>Perbincangan tenang selepas insiden reda, guru membantu murid namakan emosi</w:t>
            </w:r>
          </w:p>
        </w:tc>
        <w:tc>
          <w:tcPr>
            <w:tcW w:type="dxa" w:w="3104"/>
          </w:tcPr>
          <w:p>
            <w:r>
              <w:rPr>
                <w:rFonts w:ascii="Arial" w:hAnsi="Arial"/>
                <w:sz w:val="20"/>
              </w:rPr>
              <w:t>Selepas mana-mana peringkat di atas, untuk mengukuhkan pembelajaran</w:t>
            </w:r>
          </w:p>
        </w:tc>
      </w:tr>
      <w:tr>
        <w:tc>
          <w:tcPr>
            <w:tcW w:type="dxa" w:w="3104"/>
          </w:tcPr>
          <w:p>
            <w:r>
              <w:rPr>
                <w:rFonts w:ascii="Arial" w:hAnsi="Arial"/>
                <w:sz w:val="20"/>
              </w:rPr>
              <w:t>6</w:t>
            </w:r>
          </w:p>
        </w:tc>
        <w:tc>
          <w:tcPr>
            <w:tcW w:type="dxa" w:w="3104"/>
          </w:tcPr>
          <w:p>
            <w:r>
              <w:rPr>
                <w:rFonts w:ascii="Arial" w:hAnsi="Arial"/>
                <w:sz w:val="20"/>
              </w:rPr>
              <w:t>Rujukan kepada prinsipal dan maklum balas bertulis kepada ibu bapa</w:t>
            </w:r>
          </w:p>
        </w:tc>
        <w:tc>
          <w:tcPr>
            <w:tcW w:type="dxa" w:w="3104"/>
          </w:tcPr>
          <w:p>
            <w:r>
              <w:rPr>
                <w:rFonts w:ascii="Arial" w:hAnsi="Arial"/>
                <w:sz w:val="20"/>
              </w:rPr>
              <w:t>Tingkah laku berulang tanpa peningkatan selepas beberapa minggu</w:t>
            </w:r>
          </w:p>
        </w:tc>
      </w:tr>
    </w:tbl>
    <w:p>
      <w:r>
        <w:t>Prinsip penting: setiap peringkat tangga eskalasi kekal BUKAN FIZIKAL sepenuhnya, selaras dengan Akta Kanak-Kanak 2001. Guru tidak pernah melangkau terus ke peringkat 6 tanpa mendokumenkan percubaan di peringkat 1–5 terlebih dahulu, kecuali dalam situasi keselamatan segera yang memerlukan campur tangan prinsipal serta-merta.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Murid yang Kerap Menumpahkan Perasaan Melalui Tangisan</w:t>
            </w:r>
          </w:p>
          <w:p>
            <w:r>
              <w:rPr>
                <w:rFonts w:ascii="Arial" w:hAnsi="Arial"/>
                <w:sz w:val="22"/>
              </w:rPr>
              <w:t>Di sebuah tadika swasta di Johor Bahru, seorang murid berusia 5 tahun didapati menangis dan enggan menyertai aktiviti kumpulan hampir setiap pagi selepas ibu bapanya menghantarnya ke tadika. Guru kelas mula-mula menganggap ini sebagai "manja" dan cuba mengabaikannya, tetapi tingkah laku itu semakin kerap dan mula menganggu murid lain. Selepas guru mengaplikasikan rekod ABC selama seminggu, didapati pencetusnya ialah waktu perpisahan pagi (*separation anxiety*), bukan penolakan terhadap aktiviti kelas. Guru kemudian menukar pendekatan: menyediakan rutin selamat tinggal yang ringkas dan konsisten (lima minit bersama sebelum ibu bapa pergi, disusuli aktiviti kegemaran murid), serta memberi pujian spesifik apabila murid berjaya menenangkan diri dalam tempoh yang semakin singkat. Dalam masa dua minggu, tempoh tangisan berkurangan daripada purata 15 minit kepada di bawah 3 minit setiap pagi. Kes ini menunjukkan kepentingan mengenal pasti punca sebenar (fungsi tingkah laku) sebelum memilih strategi, selaras dengan langkah ABC di atas.</w:t>
            </w:r>
          </w:p>
        </w:tc>
      </w:tr>
    </w:tbl>
    <w:p>
      <w:pPr>
        <w:keepNext/>
      </w:pPr>
      <w:r>
        <w:rPr>
          <w:b/>
          <w:sz w:val="24"/>
        </w:rPr>
        <w:t>9. Kesilapan Lazim dan Cara Mengelaknya</w:t>
      </w:r>
    </w:p>
    <w:p>
      <w:r>
        <w:t>Walaupun guru berniat baik, beberapa amalan biasa dalam bilik darjah sebenarnya boleh menjejaskan keberkesanan pengurusan tingkah laku dalam jangka panjang tanpa disedari. Jadual berikut menyenaraikan kesilapan yang kerap diperhatikan berserta cara mengelaknya, supaya guru dapat menyemak amalan sendiri secara berkala.</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 Negatif</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Memberi label negatif pada murid ("nakal", "degil") di hadapan rakan</w:t>
            </w:r>
          </w:p>
        </w:tc>
        <w:tc>
          <w:tcPr>
            <w:tcW w:type="dxa" w:w="3104"/>
          </w:tcPr>
          <w:p>
            <w:r>
              <w:rPr>
                <w:rFonts w:ascii="Arial" w:hAnsi="Arial"/>
                <w:sz w:val="20"/>
              </w:rPr>
              <w:t>Menjejas konsep kendiri murid; tingkah laku boleh bertambah teruk</w:t>
            </w:r>
          </w:p>
        </w:tc>
        <w:tc>
          <w:tcPr>
            <w:tcW w:type="dxa" w:w="3104"/>
          </w:tcPr>
          <w:p>
            <w:r>
              <w:rPr>
                <w:rFonts w:ascii="Arial" w:hAnsi="Arial"/>
                <w:sz w:val="20"/>
              </w:rPr>
              <w:t>Fokus pada tingkah laku, bukan personaliti murid; guna bahasa neutral</w:t>
            </w:r>
          </w:p>
        </w:tc>
      </w:tr>
      <w:tr>
        <w:tc>
          <w:tcPr>
            <w:tcW w:type="dxa" w:w="3104"/>
          </w:tcPr>
          <w:p>
            <w:r>
              <w:rPr>
                <w:rFonts w:ascii="Arial" w:hAnsi="Arial"/>
                <w:sz w:val="20"/>
              </w:rPr>
              <w:t>Memberi perhatian hanya semasa tingkah laku buruk berlaku</w:t>
            </w:r>
          </w:p>
        </w:tc>
        <w:tc>
          <w:tcPr>
            <w:tcW w:type="dxa" w:w="3104"/>
          </w:tcPr>
          <w:p>
            <w:r>
              <w:rPr>
                <w:rFonts w:ascii="Arial" w:hAnsi="Arial"/>
                <w:sz w:val="20"/>
              </w:rPr>
              <w:t>Secara tidak sengaja menguatkan tingkah laku mencabar (kerana ia menarik perhatian)</w:t>
            </w:r>
          </w:p>
        </w:tc>
        <w:tc>
          <w:tcPr>
            <w:tcW w:type="dxa" w:w="3104"/>
          </w:tcPr>
          <w:p>
            <w:r>
              <w:rPr>
                <w:rFonts w:ascii="Arial" w:hAnsi="Arial"/>
                <w:sz w:val="20"/>
              </w:rPr>
              <w:t>Beri perhatian dan pujian lebih kerap semasa tingkah laku baik</w:t>
            </w:r>
          </w:p>
        </w:tc>
      </w:tr>
      <w:tr>
        <w:tc>
          <w:tcPr>
            <w:tcW w:type="dxa" w:w="3104"/>
          </w:tcPr>
          <w:p>
            <w:r>
              <w:rPr>
                <w:rFonts w:ascii="Arial" w:hAnsi="Arial"/>
                <w:sz w:val="20"/>
              </w:rPr>
              <w:t>Menggunakan ugutan yang tidak akan dilaksanakan ("kalau buat lagi, tak boleh main terus!")</w:t>
            </w:r>
          </w:p>
        </w:tc>
        <w:tc>
          <w:tcPr>
            <w:tcW w:type="dxa" w:w="3104"/>
          </w:tcPr>
          <w:p>
            <w:r>
              <w:rPr>
                <w:rFonts w:ascii="Arial" w:hAnsi="Arial"/>
                <w:sz w:val="20"/>
              </w:rPr>
              <w:t>Menjejas kredibiliti guru; murid belajar arahan tidak perlu dipatuhi</w:t>
            </w:r>
          </w:p>
        </w:tc>
        <w:tc>
          <w:tcPr>
            <w:tcW w:type="dxa" w:w="3104"/>
          </w:tcPr>
          <w:p>
            <w:r>
              <w:rPr>
                <w:rFonts w:ascii="Arial" w:hAnsi="Arial"/>
                <w:sz w:val="20"/>
              </w:rPr>
              <w:t>Beri arahan yang boleh dan akan dikuatkuasakan secara konsisten</w:t>
            </w:r>
          </w:p>
        </w:tc>
      </w:tr>
      <w:tr>
        <w:tc>
          <w:tcPr>
            <w:tcW w:type="dxa" w:w="3104"/>
          </w:tcPr>
          <w:p>
            <w:r>
              <w:rPr>
                <w:rFonts w:ascii="Arial" w:hAnsi="Arial"/>
                <w:sz w:val="20"/>
              </w:rPr>
              <w:t>Bertindak balas secara emosi/marah di hadapan murid lain</w:t>
            </w:r>
          </w:p>
        </w:tc>
        <w:tc>
          <w:tcPr>
            <w:tcW w:type="dxa" w:w="3104"/>
          </w:tcPr>
          <w:p>
            <w:r>
              <w:rPr>
                <w:rFonts w:ascii="Arial" w:hAnsi="Arial"/>
                <w:sz w:val="20"/>
              </w:rPr>
              <w:t>Memberi contoh tingkah laku tidak terkawal; menakutkan murid</w:t>
            </w:r>
          </w:p>
        </w:tc>
        <w:tc>
          <w:tcPr>
            <w:tcW w:type="dxa" w:w="3104"/>
          </w:tcPr>
          <w:p>
            <w:r>
              <w:rPr>
                <w:rFonts w:ascii="Arial" w:hAnsi="Arial"/>
                <w:sz w:val="20"/>
              </w:rPr>
              <w:t>Guru mengambil masa menenangkan diri sebelum bertindak, guna nada suara tenang</w:t>
            </w:r>
          </w:p>
        </w:tc>
      </w:tr>
      <w:tr>
        <w:tc>
          <w:tcPr>
            <w:tcW w:type="dxa" w:w="3104"/>
          </w:tcPr>
          <w:p>
            <w:r>
              <w:rPr>
                <w:rFonts w:ascii="Arial" w:hAnsi="Arial"/>
                <w:sz w:val="20"/>
              </w:rPr>
              <w:t>Tiada dokumentasi bagi insiden berulang</w:t>
            </w:r>
          </w:p>
        </w:tc>
        <w:tc>
          <w:tcPr>
            <w:tcW w:type="dxa" w:w="3104"/>
          </w:tcPr>
          <w:p>
            <w:r>
              <w:rPr>
                <w:rFonts w:ascii="Arial" w:hAnsi="Arial"/>
                <w:sz w:val="20"/>
              </w:rPr>
              <w:t>Sukar mengesan corak; sukar menjelaskan kepada ibu bapa/prinsipal</w:t>
            </w:r>
          </w:p>
        </w:tc>
        <w:tc>
          <w:tcPr>
            <w:tcW w:type="dxa" w:w="3104"/>
          </w:tcPr>
          <w:p>
            <w:r>
              <w:rPr>
                <w:rFonts w:ascii="Arial" w:hAnsi="Arial"/>
                <w:sz w:val="20"/>
              </w:rPr>
              <w:t>Rekod ABC ringkas bagi setiap insiden ketara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Senarai Semak Ringkas untuk Guru (Sedia Fotokopi)</w:t>
            </w:r>
          </w:p>
          <w:p>
            <w:r>
              <w:rPr>
                <w:rFonts w:ascii="Arial" w:hAnsi="Arial"/>
                <w:sz w:val="22"/>
              </w:rPr>
              <w:t>☐ Peraturan bilik darjah dipamerkan dalam bentuk visual dan bahasa mesra kanak-kanak</w:t>
            </w:r>
          </w:p>
          <w:p>
            <w:r>
              <w:rPr>
                <w:rFonts w:ascii="Arial" w:hAnsi="Arial"/>
                <w:sz w:val="22"/>
              </w:rPr>
              <w:t>☐ Guru memberi pujian spesifik sekurang-kurangnya 3–5 kali setiap sesi bagi tingkah laku positif</w:t>
            </w:r>
          </w:p>
          <w:p>
            <w:r>
              <w:rPr>
                <w:rFonts w:ascii="Arial" w:hAnsi="Arial"/>
                <w:sz w:val="22"/>
              </w:rPr>
              <w:t>☐ Sebarang tindakan pembetulan yang digunakan adalah bukan fizikal</w:t>
            </w:r>
          </w:p>
          <w:p>
            <w:r>
              <w:rPr>
                <w:rFonts w:ascii="Arial" w:hAnsi="Arial"/>
                <w:sz w:val="22"/>
              </w:rPr>
              <w:t>☐ Rekod ABC didokumenkan bagi insiden tingkah laku ketara/berulang</w:t>
            </w:r>
          </w:p>
          <w:p>
            <w:r>
              <w:rPr>
                <w:rFonts w:ascii="Arial" w:hAnsi="Arial"/>
                <w:sz w:val="22"/>
              </w:rPr>
              <w:t>☐ Tangga eskalasi diikut mengikut peringkat, bukan dilangkau</w:t>
            </w:r>
          </w:p>
          <w:p>
            <w:r>
              <w:rPr>
                <w:rFonts w:ascii="Arial" w:hAnsi="Arial"/>
                <w:sz w:val="22"/>
              </w:rPr>
              <w:t>☐ Insiden yang tidak bertambah baik selepas dua minggu dirujuk kepada prinsipal</w:t>
            </w:r>
          </w:p>
          <w:p>
            <w:r>
              <w:rPr>
                <w:rFonts w:ascii="Arial" w:hAnsi="Arial"/>
                <w:sz w:val="22"/>
              </w:rPr>
              <w:t>☐ Guru menyemak nada suara dan bahasa badan sendiri sebelum menegur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Aktiviti 1: Dalam kumpulan tiga orang, latih tubi mengisi jadual rekod ABC berdasarkan satu senario tingkah laku mencabar yang diberikan; kenal pasti fungsi tingkah laku dan cadangkan satu strategi peneguhan positif (selaras dengan Related Skills 4.1 "Prepare classroom rules" dan 4.3 "Motivate pupil positive attitude").</w:t>
            </w:r>
          </w:p>
          <w:p/>
          <w:p>
            <w:r>
              <w:rPr>
                <w:rFonts w:ascii="Arial" w:hAnsi="Arial"/>
                <w:sz w:val="22"/>
              </w:rPr>
              <w:t>• Aktiviti 2: Sediakan satu senarai lima frasa pujian spesifik yang boleh digunakan segera dalam bilik darjah (contoh: "Terima kasih kerana duduk dengan tenang") sebagai latihan Performance Criteria 4.3 "Positive reinforcement strategies applied consistently".</w:t>
            </w:r>
          </w:p>
          <w:p/>
          <w:p>
            <w:r>
              <w:rPr>
                <w:rFonts w:ascii="Arial" w:hAnsi="Arial"/>
                <w:sz w:val="22"/>
              </w:rPr>
              <w:t>• Aktiviti 3: Bincangkan dalam kumpulan satu senario di mana guru tergoda menggunakan hukuman fizikal; kenal pasti alternatif bukan fizikal yang sesuai dan kaitkan dengan peruntukan Child Act 2001.</w:t>
            </w:r>
          </w:p>
        </w:tc>
      </w:tr>
    </w:tbl>
    <w:p>
      <w:pPr>
        <w:keepNext/>
      </w:pPr>
      <w:r>
        <w:rPr>
          <w:b/>
          <w:sz w:val="24"/>
        </w:rPr>
        <w:t>12. Peranan Pasukan Sokongan — Prinsipal, Ibu Bapa dan Kaunselor Luar</w:t>
      </w:r>
    </w:p>
    <w:p>
      <w:r>
        <w:t>Pengurusan tingkah laku bukan tanggungjawab guru kelas seorang diri sepenuhnya. Apabila tingkah laku mencabar berterusan selepas beberapa siri intervensi berasaskan bukti (seperti rekod ABC dan tangga eskalasi di atas) tidak menunjukkan penambahbaikan, guru perlu tahu bila dan bagaimana merujuk kes kepada pihak lain. Prinsipal tadika biasanya berperanan menyelaras maklumat antara guru dan ibu bapa, serta membuat keputusan sama ada kes tersebut memerlukan rujukan luar seperti pegawai psikologi kanak-kanak atau pakar pertuturan-bahasa, terutamanya jika tingkah laku disertai tanda-tanda kelewatan perkembangan lain. Ibu bapa pula mesti dilibatkan secara telus dan awal — bukan hanya selepas kes menjadi serius — kerana maklumat tentang rutin dan persekitaran rumah murid sering memberi petunjuk penting tentang punca tingkah laku (contoh: perubahan dalam struktur keluarga, kelahiran adik baharu, perpindahan rumah). Dokumentasi ABC yang dikumpul oleh guru menjadi bukti objektif yang amat berguna semasa perbincangan dengan ibu bapa atau rujukan kepada pihak luar, kerana ia menggantikan tanggapan subjektif dengan corak tingkah laku yang direkodkan secara sistematik.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Rumusan</w:t>
            </w:r>
          </w:p>
          <w:p>
            <w:r>
              <w:rPr>
                <w:rFonts w:ascii="Arial" w:hAnsi="Arial"/>
                <w:sz w:val="22"/>
              </w:rPr>
              <w:t>Pemahaman teori tingkah laku dan penggunaan peneguhan positif secara konsisten, disokong oleh rekod ABC yang sistematik, tangga eskalasi berperingkat, dan kerjasama erat dengan prinsipal serta ibu bapa, membolehkan guru membimbing tingkah laku murid secara berperikemanusiaan tanpa hukuman fizikal, selaras dengan perundangan dan amalan terbaik prasekolah.</w:t>
            </w:r>
          </w:p>
        </w:tc>
      </w:tr>
    </w:tbl>
    <w:p>
      <w:pPr>
        <w:pageBreakBefore/>
        <w:shd w:val="clear" w:color="auto" w:fill="D9D9D9"/>
      </w:pPr>
      <w:r>
        <w:rPr>
          <w:rFonts w:ascii="Arial" w:hAnsi="Arial"/>
          <w:b/>
          <w:sz w:val="28"/>
        </w:rPr>
        <w:t>Bab 2: Values practices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nilai murni teras yang diterapkan dalam bilik darjah prasekolah.</w:t>
            </w:r>
          </w:p>
          <w:p/>
          <w:p>
            <w:r>
              <w:rPr>
                <w:rFonts w:ascii="Arial" w:hAnsi="Arial"/>
                <w:sz w:val="22"/>
              </w:rPr>
              <w:t>• Menjelaskan cara nilai murni diamalkan secara harian oleh guru.</w:t>
            </w:r>
          </w:p>
          <w:p/>
          <w:p>
            <w:r>
              <w:rPr>
                <w:rFonts w:ascii="Arial" w:hAnsi="Arial"/>
                <w:sz w:val="22"/>
              </w:rPr>
              <w:t>• Mengaitkan amalan nilai murni dengan pembentukan tingkah laku positif murid.</w:t>
            </w:r>
          </w:p>
        </w:tc>
      </w:tr>
    </w:tbl>
    <w:p>
      <w:pPr>
        <w:keepNext/>
      </w:pPr>
      <w:r>
        <w:rPr>
          <w:b/>
          <w:sz w:val="24"/>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 Setiap nilai ini bukan konsep abstrak semata-mata bagi murid prasekolah — ia perlu diterjemahkan kepada tingkah laku konkrit yang boleh diperhatikan dan dipraktikkan. Contohnya, "hormat-menghormati" diterjemahkan sebagai "menunggu giliran bercakap" dan "mendengar apabila orang lain bercakap"; "tanggungjawab" diterjemahkan sebagai "mengemas mainan sendiri selepas digunakan". Penterjemahan nilai abstrak kepada tingkah laku konkrit ini adalah kemahiran penting bagi guru prasekolah, kerana murid pada peringkat ini belajar lebih berkesan melalui contoh khusus berbanding definisi umum.</w:t>
      </w:r>
    </w:p>
    <w:p>
      <w:pPr>
        <w:keepNext/>
      </w:pPr>
      <w:r>
        <w:rPr>
          <w:b/>
          <w:sz w:val="24"/>
        </w:rPr>
        <w:t>2. Kaedah Penerapan Harian</w:t>
      </w:r>
    </w:p>
    <w:p>
      <w:r>
        <w:t>Guru menerapkan nilai murni melalui pemodelan tingkah laku (guru sendiri bersikap sopan dan sabar), penceritaan bermoral, lagu dan permainan peranan, serta pujian spesifik apabila murid mempamerkan nilai tersebut secara spontan. Penceritaan bermoral (*moral storytelling*) amat berkesan bagi peringkat umur ini kerana murid mudah mengaitkan diri dengan watak dalam cerita dan belajar akibat sesuatu tindakan secara selamat, tanpa perlu mengalaminya sendiri. Permainan peranan (*role-play*) pula membolehkan murid mempraktikkan nilai dalam situasi terkawal — contohnya, berlakon situasi "meminjam mainan" membolehkan murid berlatih meminta izin dan berterima kasih sebelum situasi sebenar berlaku, mengurangkan kemungkinan konflik semasa bermain bebas yang sebenar.</w:t>
      </w:r>
    </w:p>
    <w:p>
      <w:pPr>
        <w:keepNext/>
      </w:pPr>
      <w:r>
        <w:rPr>
          <w:b/>
          <w:sz w:val="24"/>
        </w:rPr>
        <w:t>3. Contoh Amalan Tadika</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Nilai</w:t>
            </w:r>
          </w:p>
        </w:tc>
        <w:tc>
          <w:tcPr>
            <w:tcW w:type="dxa" w:w="4656"/>
            <w:shd w:val="clear" w:color="auto" w:fill="D9D9D9"/>
          </w:tcPr>
          <w:p>
            <w:r>
              <w:rPr>
                <w:rFonts w:ascii="Arial" w:hAnsi="Arial"/>
                <w:b/>
                <w:sz w:val="20"/>
              </w:rPr>
              <w:t>Amalan Harian</w:t>
            </w:r>
          </w:p>
        </w:tc>
      </w:tr>
      <w:tr>
        <w:tc>
          <w:tcPr>
            <w:tcW w:type="dxa" w:w="4656"/>
          </w:tcPr>
          <w:p>
            <w:r>
              <w:rPr>
                <w:rFonts w:ascii="Arial" w:hAnsi="Arial"/>
                <w:sz w:val="20"/>
              </w:rPr>
              <w:t>Berkongsi</w:t>
            </w:r>
          </w:p>
        </w:tc>
        <w:tc>
          <w:tcPr>
            <w:tcW w:type="dxa" w:w="4656"/>
          </w:tcPr>
          <w:p>
            <w:r>
              <w:rPr>
                <w:rFonts w:ascii="Arial" w:hAnsi="Arial"/>
                <w:sz w:val="20"/>
              </w:rPr>
              <w:t>Sistem giliran mainan dengan pemasa pasir</w:t>
            </w:r>
          </w:p>
        </w:tc>
      </w:tr>
      <w:tr>
        <w:tc>
          <w:tcPr>
            <w:tcW w:type="dxa" w:w="4656"/>
          </w:tcPr>
          <w:p>
            <w:r>
              <w:rPr>
                <w:rFonts w:ascii="Arial" w:hAnsi="Arial"/>
                <w:sz w:val="20"/>
              </w:rPr>
              <w:t>Hormat</w:t>
            </w:r>
          </w:p>
        </w:tc>
        <w:tc>
          <w:tcPr>
            <w:tcW w:type="dxa" w:w="4656"/>
          </w:tcPr>
          <w:p>
            <w:r>
              <w:rPr>
                <w:rFonts w:ascii="Arial" w:hAnsi="Arial"/>
                <w:sz w:val="20"/>
              </w:rPr>
              <w:t>Menunggu giliran bercakap semasa "circle time"</w:t>
            </w:r>
          </w:p>
        </w:tc>
      </w:tr>
      <w:tr>
        <w:tc>
          <w:tcPr>
            <w:tcW w:type="dxa" w:w="4656"/>
          </w:tcPr>
          <w:p>
            <w:r>
              <w:rPr>
                <w:rFonts w:ascii="Arial" w:hAnsi="Arial"/>
                <w:sz w:val="20"/>
              </w:rPr>
              <w:t>Tanggungjawab</w:t>
            </w:r>
          </w:p>
        </w:tc>
        <w:tc>
          <w:tcPr>
            <w:tcW w:type="dxa" w:w="4656"/>
          </w:tcPr>
          <w:p>
            <w:r>
              <w:rPr>
                <w:rFonts w:ascii="Arial" w:hAnsi="Arial"/>
                <w:sz w:val="20"/>
              </w:rPr>
              <w:t>Tugasan kecil seperti "pembantu hari ini"</w:t>
            </w:r>
          </w:p>
        </w:tc>
      </w:tr>
    </w:tbl>
    <w:p>
      <w:pPr>
        <w:keepNext/>
      </w:pPr>
      <w:r>
        <w:rPr>
          <w:b/>
          <w:sz w:val="24"/>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 Pendekatan ini selaras dengan semangat perpaduan dalam Falsafah Pendidikan Kebangsaan dan membantu murid membina sikap terbuka serta menghormati kepelbagaian sejak usia awal. Guru boleh memilih bahan bantu mengajar (buku cerita, lagu, watak permainan peranan) yang memaparkan latar belakang pelbagai kaum secara semula jadi, tanpa perlu menjadikan perbezaan kaum/agama sebagai fokus perbincangan utama — nilai itu sendiri (berkongsi, hormat) yang menjadi tumpuan, bukan latar belakang watak.</w:t>
      </w:r>
    </w:p>
    <w:p>
      <w:pPr>
        <w:keepNext/>
      </w:pPr>
      <w:r>
        <w:rPr>
          <w:b/>
          <w:sz w:val="24"/>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 Konsistensi antara dua persekitaran utama murid (tadika dan rumah) amat penting kerana murid prasekolah belum mampu membezakan sepenuhnya bahawa "peraturan tadika" berbeza daripada "peraturan rumah" — jika nilai yang diajar di tadika bercanggah dengan amalan di rumah tanpa penjelasan, murid boleh keliru tentang tingkah laku yang sebenarnya dikehendaki. Justeru, komunikasi dua hala dengan ibu bapa — bukan sekadar memberitahu, tetapi turut mendengar maklum balas ibu bapa tentang tingkah laku murid di rumah — membantu guru menyesuaikan pendekatan yang lebih menyeluruh bagi setiap murid.</w:t>
      </w:r>
    </w:p>
    <w:p>
      <w:pPr>
        <w:keepNext/>
      </w:pPr>
      <w:r>
        <w:rPr>
          <w:b/>
          <w:sz w:val="24"/>
        </w:rPr>
        <w:t>6. Definisi dan Latar Belakang Konsep Nilai Murni dalam KSPK</w:t>
      </w:r>
    </w:p>
    <w:p>
      <w:r>
        <w:t>Sub-tajuk ini menghuraikan dengan lebih mendalam asas teori dan rangka dasar yang menyokong penerapan nilai murni dalam bilik darjah prasekolah, sebagai lanjutan kepada penerangan ringkas di sub-tajuk 1 hingga 5 di atas.</w:t>
      </w:r>
    </w:p>
    <w:p>
      <w:r>
        <w:t>"Nilai murni" dalam konteks KSPK 2017 Semakan merujuk kepada sifat dan sikap baik yang menjadi asas pembentukan sahsiah murid sejak usia awal, diterapkan melalui tunjang Kerohanian, Sikap dan Nilai — salah satu daripada enam tunjang pembelajaran dalam KSPK. Tunjang ini tidak diajar sebagai subjek berasingan dengan waktu khusus semata-mata, sebaliknya diserapkan (*integrated*) merentasi semua tunjang lain dan sepanjang rutin harian tadika, termasuk semasa waktu makan, permainan bebas, dan peralihan aktiviti.</w:t>
      </w:r>
    </w:p>
    <w:p>
      <w:r>
        <w:t>Konsep asas yang perlu difahami guru:</w:t>
      </w:r>
    </w:p>
    <w:p/>
    <w:p>
      <w:pPr>
        <w:pStyle w:val="ListParagraph"/>
      </w:pPr>
      <w:r>
        <w:t>• Values internalisation* (penghayatan nilai) — proses murid bukan sekadar mengetahui nilai secara teori, tetapi mengamalkannya secara konsisten tanpa perlu dipaksa atau diingatkan berulang kali; ini adalah matlamat jangka panjang, bukan hasil segera.</w:t>
      </w:r>
    </w:p>
    <w:p/>
    <w:p>
      <w:pPr>
        <w:pStyle w:val="ListParagraph"/>
      </w:pPr>
      <w:r>
        <w:t>• Modelling* (pemodelan) — kaedah paling berkesan bagi murid prasekolah belajar nilai, kerana murid pada peringkat ini belajar terutamanya melalui pemerhatian terhadap orang dewasa yang dipercayai (guru, ibu bapa) berbanding penerangan lisan semata-mata.</w:t>
      </w:r>
    </w:p>
    <w:p/>
    <w:p>
      <w:pPr>
        <w:pStyle w:val="ListParagraph"/>
      </w:pPr>
      <w:r>
        <w:t>• Moral reasoning* peringkat awal — pada usia 4–6 tahun, murid mula memahami konsep "betul" dan "salah" berdasarkan akibat serta-merta dan reaksi orang dewasa, bukan berdasarkan prinsip abstrak; oleh itu penjelasan nilai perlu konkrit dan berkait dengan situasi sebenar yang murid alami.</w:t>
      </w:r>
    </w:p>
    <w:p>
      <w:r>
        <w:t>Nilai murni teras yang disenaraikan dalam sub-tajuk 1 (hormat-menghormati, kejujuran, tanggungjawab, kerjasama, belas kasihan) selari dengan Falsafah Pendidikan Kebangsaan yang menekankan pembangunan insan seimbang dari segi jasmani, emosi, rohani, intelek dan sosial (JERIS). Dalam konteks pengurusan tingkah laku khususnya, nilai murni berfungsi sebagai ASAS DALAMAN (*internal motivation*) yang menyokong peraturan bilik darjah — murid yang menghayati nilai "hormat" lebih cenderung mematuhi peraturan menunggu giliran bukan kerana takut hukuman, tetapi kerana memahami kesan tindakannya terhadap orang lain.</w:t>
      </w:r>
    </w:p>
    <w:p>
      <w:pPr>
        <w:keepNext/>
      </w:pPr>
      <w:r>
        <w:rPr>
          <w:b/>
          <w:sz w:val="24"/>
        </w:rPr>
        <w:t>7. Prosedur Langkah Demi Langkah: Menyepadukan Nilai Murni ke dalam Rutin Harian</w:t>
      </w:r>
    </w:p>
    <w:p/>
    <w:p>
      <w:pPr>
        <w:pStyle w:val="ListParagraph"/>
      </w:pPr>
      <w:r>
        <w:t>Langkah 1 — Kenal pasti titik rutin harian yang sesuai. Semak jadual harian tadika dan kenal pasti masa-masa semula jadi untuk mengukuhkan nilai (contoh: waktu makan untuk nilai "berkongsi", masa litar untuk nilai "hormat mendengar").</w:t>
      </w:r>
    </w:p>
    <w:p/>
    <w:p>
      <w:pPr>
        <w:pStyle w:val="ListParagraph"/>
      </w:pPr>
      <w:r>
        <w:t>Langkah 2 — Sediakan bahasa dan isyarat konsisten. Pilih frasa ringkas yang akan digunakan berulang (contoh: "Kita tunggu giliran" untuk nilai kesabaran) supaya murid mengaitkan frasa itu dengan tingkah laku yang dikehendaki.</w:t>
      </w:r>
    </w:p>
    <w:p/>
    <w:p>
      <w:pPr>
        <w:pStyle w:val="ListParagraph"/>
      </w:pPr>
      <w:r>
        <w:t>Langkah 3 — Model tingkah laku secara eksplisit. Guru menunjukkan tingkah laku itu sendiri secara terang-terangan dan menyebut apa yang sedang dilakukan (contoh: "Cikgu letak buku ini semula di rak supaya kemas untuk rakan lain").</w:t>
      </w:r>
    </w:p>
    <w:p/>
    <w:p>
      <w:pPr>
        <w:pStyle w:val="ListParagraph"/>
      </w:pPr>
      <w:r>
        <w:t>Langkah 4 — Beri peluang murid mengamalkan. Wujudkan situasi harian yang membenarkan murid mempraktikkan nilai itu sendiri, bukan hanya mendengar penerangan (contoh: tugasan bergilir sebagai "pembantu hari ini").</w:t>
      </w:r>
    </w:p>
    <w:p/>
    <w:p>
      <w:pPr>
        <w:pStyle w:val="ListParagraph"/>
      </w:pPr>
      <w:r>
        <w:t>Langkah 5 — Kukuhkan dengan pujian spesifik serta-merta. Apabila murid menunjukkan nilai tersebut secara spontan, guru segera memberi pengiktirafan yang menamakan nilai tersebut (contoh: "Terima kasih Adam kerana berkongsi warna dengan Mei — itu sikap yang baik").</w:t>
      </w:r>
    </w:p>
    <w:p/>
    <w:p>
      <w:pPr>
        <w:pStyle w:val="ListParagraph"/>
      </w:pPr>
      <w:r>
        <w:t>Langkah 6 — Rekod dan kongsi dengan ibu bapa. Guru mencatat pemerhatian ringkas dalam buku laporan harian atau papan buletin supaya ibu bapa dapat mengukuhkan nilai yang sama di rumah.</w:t>
      </w:r>
    </w:p>
    <w:p>
      <w:r>
        <w:t>Langkah-langkah ini bukan proses linear yang berlaku sekali sahaja, tetapi kitaran berterusan sepanjang tahun persekolahan — guru sentiasa mengulangi langkah 3 hingga 6 bagi nilai yang sama pada situasi berbeza, kerana penghayatan nilai memerlukan pendedahan berulang dalam pelbagai konteks sebelum ia benar-benar tertanam sebagai tabiat murid. Guru berpengalaman turut menyedari bahawa kadangkala murid akan "mundur" (regress) buat sementara waktu dalam mengamalkan sesuatu nilai, terutamanya semasa tempoh perubahan seperti selepas cuti panjang atau apabila terdapat perubahan dalam bilik darjah (guru baharu, susunan tempat duduk baharu); ini adalah normal dan tidak bermakna langkah penerapan nilai gagal, sebaliknya memerlukan guru mengulangi langkah pemodelan dan pengukuhan dengan lebih kerap buat sementara waktu.</w:t>
      </w:r>
    </w:p>
    <w:p>
      <w:pPr>
        <w:keepNext/>
      </w:pPr>
      <w:r>
        <w:rPr>
          <w:b/>
          <w:sz w:val="24"/>
        </w:rPr>
        <w:t>8. Jadual: Nilai Murni, Titik Rutin, dan Kaedah Pengukuhan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Nilai Murni</w:t>
            </w:r>
          </w:p>
        </w:tc>
        <w:tc>
          <w:tcPr>
            <w:tcW w:type="dxa" w:w="3104"/>
            <w:shd w:val="clear" w:color="auto" w:fill="D9D9D9"/>
          </w:tcPr>
          <w:p>
            <w:r>
              <w:rPr>
                <w:rFonts w:ascii="Arial" w:hAnsi="Arial"/>
                <w:b/>
                <w:sz w:val="20"/>
              </w:rPr>
              <w:t>Titik Rutin Harian</w:t>
            </w:r>
          </w:p>
        </w:tc>
        <w:tc>
          <w:tcPr>
            <w:tcW w:type="dxa" w:w="3104"/>
            <w:shd w:val="clear" w:color="auto" w:fill="D9D9D9"/>
          </w:tcPr>
          <w:p>
            <w:r>
              <w:rPr>
                <w:rFonts w:ascii="Arial" w:hAnsi="Arial"/>
                <w:b/>
                <w:sz w:val="20"/>
              </w:rPr>
              <w:t>Kaedah Pengukuhan</w:t>
            </w:r>
          </w:p>
        </w:tc>
      </w:tr>
      <w:tr>
        <w:tc>
          <w:tcPr>
            <w:tcW w:type="dxa" w:w="3104"/>
          </w:tcPr>
          <w:p>
            <w:r>
              <w:rPr>
                <w:rFonts w:ascii="Arial" w:hAnsi="Arial"/>
                <w:sz w:val="20"/>
              </w:rPr>
              <w:t>Berkongsi</w:t>
            </w:r>
          </w:p>
        </w:tc>
        <w:tc>
          <w:tcPr>
            <w:tcW w:type="dxa" w:w="3104"/>
          </w:tcPr>
          <w:p>
            <w:r>
              <w:rPr>
                <w:rFonts w:ascii="Arial" w:hAnsi="Arial"/>
                <w:sz w:val="20"/>
              </w:rPr>
              <w:t>Masa bermain bebas</w:t>
            </w:r>
          </w:p>
        </w:tc>
        <w:tc>
          <w:tcPr>
            <w:tcW w:type="dxa" w:w="3104"/>
          </w:tcPr>
          <w:p>
            <w:r>
              <w:rPr>
                <w:rFonts w:ascii="Arial" w:hAnsi="Arial"/>
                <w:sz w:val="20"/>
              </w:rPr>
              <w:t>Sistem giliran mainan dengan pemasa pasir</w:t>
            </w:r>
          </w:p>
        </w:tc>
      </w:tr>
      <w:tr>
        <w:tc>
          <w:tcPr>
            <w:tcW w:type="dxa" w:w="3104"/>
          </w:tcPr>
          <w:p>
            <w:r>
              <w:rPr>
                <w:rFonts w:ascii="Arial" w:hAnsi="Arial"/>
                <w:sz w:val="20"/>
              </w:rPr>
              <w:t>Hormat</w:t>
            </w:r>
          </w:p>
        </w:tc>
        <w:tc>
          <w:tcPr>
            <w:tcW w:type="dxa" w:w="3104"/>
          </w:tcPr>
          <w:p>
            <w:r>
              <w:rPr>
                <w:rFonts w:ascii="Arial" w:hAnsi="Arial"/>
                <w:sz w:val="20"/>
              </w:rPr>
              <w:t>Circle time / masa litar</w:t>
            </w:r>
          </w:p>
        </w:tc>
        <w:tc>
          <w:tcPr>
            <w:tcW w:type="dxa" w:w="3104"/>
          </w:tcPr>
          <w:p>
            <w:r>
              <w:rPr>
                <w:rFonts w:ascii="Arial" w:hAnsi="Arial"/>
                <w:sz w:val="20"/>
              </w:rPr>
              <w:t>Menunggu giliran bercakap semasa circle time</w:t>
            </w:r>
          </w:p>
        </w:tc>
      </w:tr>
      <w:tr>
        <w:tc>
          <w:tcPr>
            <w:tcW w:type="dxa" w:w="3104"/>
          </w:tcPr>
          <w:p>
            <w:r>
              <w:rPr>
                <w:rFonts w:ascii="Arial" w:hAnsi="Arial"/>
                <w:sz w:val="20"/>
              </w:rPr>
              <w:t>Tanggungjawab</w:t>
            </w:r>
          </w:p>
        </w:tc>
        <w:tc>
          <w:tcPr>
            <w:tcW w:type="dxa" w:w="3104"/>
          </w:tcPr>
          <w:p>
            <w:r>
              <w:rPr>
                <w:rFonts w:ascii="Arial" w:hAnsi="Arial"/>
                <w:sz w:val="20"/>
              </w:rPr>
              <w:t>Sebelum/selepas aktiviti</w:t>
            </w:r>
          </w:p>
        </w:tc>
        <w:tc>
          <w:tcPr>
            <w:tcW w:type="dxa" w:w="3104"/>
          </w:tcPr>
          <w:p>
            <w:r>
              <w:rPr>
                <w:rFonts w:ascii="Arial" w:hAnsi="Arial"/>
                <w:sz w:val="20"/>
              </w:rPr>
              <w:t>Tugasan kecil "pembantu hari ini"</w:t>
            </w:r>
          </w:p>
        </w:tc>
      </w:tr>
      <w:tr>
        <w:tc>
          <w:tcPr>
            <w:tcW w:type="dxa" w:w="3104"/>
          </w:tcPr>
          <w:p>
            <w:r>
              <w:rPr>
                <w:rFonts w:ascii="Arial" w:hAnsi="Arial"/>
                <w:sz w:val="20"/>
              </w:rPr>
              <w:t>Kejujuran</w:t>
            </w:r>
          </w:p>
        </w:tc>
        <w:tc>
          <w:tcPr>
            <w:tcW w:type="dxa" w:w="3104"/>
          </w:tcPr>
          <w:p>
            <w:r>
              <w:rPr>
                <w:rFonts w:ascii="Arial" w:hAnsi="Arial"/>
                <w:sz w:val="20"/>
              </w:rPr>
              <w:t>Sesi penceritaan/perbincangan</w:t>
            </w:r>
          </w:p>
        </w:tc>
        <w:tc>
          <w:tcPr>
            <w:tcW w:type="dxa" w:w="3104"/>
          </w:tcPr>
          <w:p>
            <w:r>
              <w:rPr>
                <w:rFonts w:ascii="Arial" w:hAnsi="Arial"/>
                <w:sz w:val="20"/>
              </w:rPr>
              <w:t>Penceritaan bermoral berkaitan situasi sebenar</w:t>
            </w:r>
          </w:p>
        </w:tc>
      </w:tr>
      <w:tr>
        <w:tc>
          <w:tcPr>
            <w:tcW w:type="dxa" w:w="3104"/>
          </w:tcPr>
          <w:p>
            <w:r>
              <w:rPr>
                <w:rFonts w:ascii="Arial" w:hAnsi="Arial"/>
                <w:sz w:val="20"/>
              </w:rPr>
              <w:t>Belas kasihan</w:t>
            </w:r>
          </w:p>
        </w:tc>
        <w:tc>
          <w:tcPr>
            <w:tcW w:type="dxa" w:w="3104"/>
          </w:tcPr>
          <w:p>
            <w:r>
              <w:rPr>
                <w:rFonts w:ascii="Arial" w:hAnsi="Arial"/>
                <w:sz w:val="20"/>
              </w:rPr>
              <w:t>Waktu bermain berkumpulan</w:t>
            </w:r>
          </w:p>
        </w:tc>
        <w:tc>
          <w:tcPr>
            <w:tcW w:type="dxa" w:w="3104"/>
          </w:tcPr>
          <w:p>
            <w:r>
              <w:rPr>
                <w:rFonts w:ascii="Arial" w:hAnsi="Arial"/>
                <w:sz w:val="20"/>
              </w:rPr>
              <w:t>Guru memuji tindakan menolong rakan yang terjatuh/sedih</w:t>
            </w:r>
          </w:p>
        </w:tc>
      </w:tr>
      <w:tr>
        <w:tc>
          <w:tcPr>
            <w:tcW w:type="dxa" w:w="3104"/>
          </w:tcPr>
          <w:p>
            <w:r>
              <w:rPr>
                <w:rFonts w:ascii="Arial" w:hAnsi="Arial"/>
                <w:sz w:val="20"/>
              </w:rPr>
              <w:t>Kerjasama</w:t>
            </w:r>
          </w:p>
        </w:tc>
        <w:tc>
          <w:tcPr>
            <w:tcW w:type="dxa" w:w="3104"/>
          </w:tcPr>
          <w:p>
            <w:r>
              <w:rPr>
                <w:rFonts w:ascii="Arial" w:hAnsi="Arial"/>
                <w:sz w:val="20"/>
              </w:rPr>
              <w:t>Aktiviti seni/projek kumpulan</w:t>
            </w:r>
          </w:p>
        </w:tc>
        <w:tc>
          <w:tcPr>
            <w:tcW w:type="dxa" w:w="3104"/>
          </w:tcPr>
          <w:p>
            <w:r>
              <w:rPr>
                <w:rFonts w:ascii="Arial" w:hAnsi="Arial"/>
                <w:sz w:val="20"/>
              </w:rPr>
              <w:t>Tugasan berkumpulan kecil dengan peranan jelas untuk setiap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Kajian Kes Tadika: Menerapkan Nilai Berkongsi dalam Kelas Pelbagai Kaum</w:t>
            </w:r>
          </w:p>
          <w:p>
            <w:r>
              <w:rPr>
                <w:rFonts w:ascii="Arial" w:hAnsi="Arial"/>
                <w:sz w:val="22"/>
              </w:rPr>
              <w:t>Di sebuah tadika swasta dengan murid daripada latar belakang Melayu, Cina dan India, guru mendapati konflik kerap berlaku semasa waktu bermain kerana beberapa murid enggan berkongsi mainan popular seperti blok binaan dan roda basikal mini. Guru memperkenalkan sistem giliran mainan dengan pemasa pasir lima minit sebagai penyelesaian neutral yang tidak bergantung pada mana-mana amalan budaya tertentu, disertai lagu ringkas tentang berkongsi yang dinyanyikan dalam Bahasa Malaysia supaya semua murid dapat mengikutinya tanpa mengira bahasa ibunda. Selepas tiga minggu pelaksanaan konsisten, bilangan konflik berkaitan perkongsian mainan berkurangan dengan ketara, dan beberapa murid mula mengingatkan rakan sendiri tentang giliran tanpa campur tangan guru — menunjukkan permulaan penghayatan nilai (*values internalisation*) yang disebut dalam sub-tajuk 6. Guru turut memerhatikan bahawa murid yang pada mulanya paling sukar berkongsi adalah murid yang baru mendaftar dan belum biasa dengan rutin kelas; selepas berbincang dengan ibu bapanya, guru mendapati murid tersebut merupakan anak tunggal di rumah dan jarang berpeluang berkongsi barang dengan kanak-kanak lain sebelum ini. Maklumat ini membantu guru menyesuaikan pendekatan — memberi sokongan tambahan dan pujian lebih kerap khusus untuk murid tersebut pada peringkat awal, tanpa membezakan layanan secara ketara berbanding rakan sekelas lain — sehingga murid itu turut berjaya menyesuaikan diri dalam tempoh sebulan.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Mengukuhkan Nilai Tanggungjawab melalui Tugasan Berperingkat</w:t>
            </w:r>
          </w:p>
          <w:p>
            <w:r>
              <w:rPr>
                <w:rFonts w:ascii="Arial" w:hAnsi="Arial"/>
                <w:sz w:val="22"/>
              </w:rPr>
              <w:t>Di sebuah tadika di Kluang, guru mendapati murid Tahap 4 kerap meninggalkan kawasan bermain dalam keadaan bersepah selepas aktiviti, walaupun arahan mengemas telah diberikan. Selepas menganalisis situasi, guru mendapati punca sebenar bukan keengganan murid, tetapi tugasan "kemas semua" dianggap terlalu besar dan tidak jelas bagi murid prasekolah. Guru kemudian memecahkan tugasan mengemas kepada peranan kecil berperingkat — seorang murid bertanggungjawab mengumpul blok, seorang lagi mengembalikan buku ke rak, dan seorang lagi melipat tikar — bergilir setiap minggu sebagai sebahagian daripada tugasan "pembantu hari ini". Pendekatan ini bukan sahaja meningkatkan kadar penyertaan mengemas, tetapi turut membina rasa bangga dan pemilikan (*sense of ownership*) terhadap kawasan kelas dalam kalangan murid, selaras dengan nilai tanggungjawab yang dibincangkan dalam sub-tajuk 1.</w:t>
            </w:r>
          </w:p>
        </w:tc>
      </w:tr>
    </w:tbl>
    <w:p>
      <w:pPr>
        <w:keepNext/>
      </w:pPr>
      <w:r>
        <w:rPr>
          <w:b/>
          <w:sz w:val="24"/>
        </w:rPr>
        <w:t>11. Kesilapan Lazim dan Cara Mengelaknya</w:t>
      </w:r>
    </w:p>
    <w:p>
      <w:r>
        <w:t>Penerapan nilai murni sering gagal mencapai kesan jangka panjang bukan kerana kandungan yang diajar salah, tetapi kerana kaedah penyampaian yang kurang tepat. Jadual di bawah merumuskan kesilapan lazim yang perlu dielakkan oleh guru prasekolah. Guru digalakkan menyemak jadual ini secara berkala — contohnya setiap penghujung semester — sebagai sebahagian daripada refleksi kendiri profesional, bukan hanya dibaca sekali semasa latihan awal perkhidmatan.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 Negatif</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Mengajar nilai hanya melalui ceramah/penerangan lisan tanpa peluang amalan</w:t>
            </w:r>
          </w:p>
        </w:tc>
        <w:tc>
          <w:tcPr>
            <w:tcW w:type="dxa" w:w="3104"/>
          </w:tcPr>
          <w:p>
            <w:r>
              <w:rPr>
                <w:rFonts w:ascii="Arial" w:hAnsi="Arial"/>
                <w:sz w:val="20"/>
              </w:rPr>
              <w:t>Murid tahu nilai secara teori tetapi tidak mengamalkannya</w:t>
            </w:r>
          </w:p>
        </w:tc>
        <w:tc>
          <w:tcPr>
            <w:tcW w:type="dxa" w:w="3104"/>
          </w:tcPr>
          <w:p>
            <w:r>
              <w:rPr>
                <w:rFonts w:ascii="Arial" w:hAnsi="Arial"/>
                <w:sz w:val="20"/>
              </w:rPr>
              <w:t>Sediakan situasi harian untuk murid mempraktikkan nilai secara langsung</w:t>
            </w:r>
          </w:p>
        </w:tc>
      </w:tr>
      <w:tr>
        <w:tc>
          <w:tcPr>
            <w:tcW w:type="dxa" w:w="3104"/>
          </w:tcPr>
          <w:p>
            <w:r>
              <w:rPr>
                <w:rFonts w:ascii="Arial" w:hAnsi="Arial"/>
                <w:sz w:val="20"/>
              </w:rPr>
              <w:t>Guru sendiri tidak konsisten mengamalkan nilai yang diajar</w:t>
            </w:r>
          </w:p>
        </w:tc>
        <w:tc>
          <w:tcPr>
            <w:tcW w:type="dxa" w:w="3104"/>
          </w:tcPr>
          <w:p>
            <w:r>
              <w:rPr>
                <w:rFonts w:ascii="Arial" w:hAnsi="Arial"/>
                <w:sz w:val="20"/>
              </w:rPr>
              <w:t>Murid keliru dan kehilangan kepercayaan terhadap arahan guru</w:t>
            </w:r>
          </w:p>
        </w:tc>
        <w:tc>
          <w:tcPr>
            <w:tcW w:type="dxa" w:w="3104"/>
          </w:tcPr>
          <w:p>
            <w:r>
              <w:rPr>
                <w:rFonts w:ascii="Arial" w:hAnsi="Arial"/>
                <w:sz w:val="20"/>
              </w:rPr>
              <w:t>Guru sentiasa menjadi model tingkah laku yang selaras dengan apa yang diajar</w:t>
            </w:r>
          </w:p>
        </w:tc>
      </w:tr>
      <w:tr>
        <w:tc>
          <w:tcPr>
            <w:tcW w:type="dxa" w:w="3104"/>
          </w:tcPr>
          <w:p>
            <w:r>
              <w:rPr>
                <w:rFonts w:ascii="Arial" w:hAnsi="Arial"/>
                <w:sz w:val="20"/>
              </w:rPr>
              <w:t>Menekankan satu tradisi budaya/agama sahaja semasa mengajar nilai</w:t>
            </w:r>
          </w:p>
        </w:tc>
        <w:tc>
          <w:tcPr>
            <w:tcW w:type="dxa" w:w="3104"/>
          </w:tcPr>
          <w:p>
            <w:r>
              <w:rPr>
                <w:rFonts w:ascii="Arial" w:hAnsi="Arial"/>
                <w:sz w:val="20"/>
              </w:rPr>
              <w:t>Murid daripada latar belakang lain berasa tersisih</w:t>
            </w:r>
          </w:p>
        </w:tc>
        <w:tc>
          <w:tcPr>
            <w:tcW w:type="dxa" w:w="3104"/>
          </w:tcPr>
          <w:p>
            <w:r>
              <w:rPr>
                <w:rFonts w:ascii="Arial" w:hAnsi="Arial"/>
                <w:sz w:val="20"/>
              </w:rPr>
              <w:t>Guna situasi dan cerita neutral dari segi budaya, selaras dengan sub-tajuk 4</w:t>
            </w:r>
          </w:p>
        </w:tc>
      </w:tr>
      <w:tr>
        <w:tc>
          <w:tcPr>
            <w:tcW w:type="dxa" w:w="3104"/>
          </w:tcPr>
          <w:p>
            <w:r>
              <w:rPr>
                <w:rFonts w:ascii="Arial" w:hAnsi="Arial"/>
                <w:sz w:val="20"/>
              </w:rPr>
              <w:t>Tiada penglibatan ibu bapa</w:t>
            </w:r>
          </w:p>
        </w:tc>
        <w:tc>
          <w:tcPr>
            <w:tcW w:type="dxa" w:w="3104"/>
          </w:tcPr>
          <w:p>
            <w:r>
              <w:rPr>
                <w:rFonts w:ascii="Arial" w:hAnsi="Arial"/>
                <w:sz w:val="20"/>
              </w:rPr>
              <w:t>Nilai yang diajar di tadika tidak dikukuhkan di rumah, kesan jangka panjang berkurangan</w:t>
            </w:r>
          </w:p>
        </w:tc>
        <w:tc>
          <w:tcPr>
            <w:tcW w:type="dxa" w:w="3104"/>
          </w:tcPr>
          <w:p>
            <w:r>
              <w:rPr>
                <w:rFonts w:ascii="Arial" w:hAnsi="Arial"/>
                <w:sz w:val="20"/>
              </w:rPr>
              <w:t>Kongsi maklumat nilai mingguan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Senarai Semak Ringkas untuk Guru (Sedia Fotokopi)</w:t>
            </w:r>
          </w:p>
          <w:p>
            <w:r>
              <w:rPr>
                <w:rFonts w:ascii="Arial" w:hAnsi="Arial"/>
                <w:sz w:val="22"/>
              </w:rPr>
              <w:t>☐ Nilai murni minggu ini dikenal pasti dan dikaitkan dengan titik rutin harian yang khusus</w:t>
            </w:r>
          </w:p>
          <w:p>
            <w:r>
              <w:rPr>
                <w:rFonts w:ascii="Arial" w:hAnsi="Arial"/>
                <w:sz w:val="22"/>
              </w:rPr>
              <w:t>☐ Guru memodelkan nilai tersebut secara eksplisit sekurang-kurangnya sekali setiap hari</w:t>
            </w:r>
          </w:p>
          <w:p>
            <w:r>
              <w:rPr>
                <w:rFonts w:ascii="Arial" w:hAnsi="Arial"/>
                <w:sz w:val="22"/>
              </w:rPr>
              <w:t>☐ Murid diberi peluang mengamalkan nilai melalui tugasan/situasi sebenar</w:t>
            </w:r>
          </w:p>
          <w:p>
            <w:r>
              <w:rPr>
                <w:rFonts w:ascii="Arial" w:hAnsi="Arial"/>
                <w:sz w:val="22"/>
              </w:rPr>
              <w:t>☐ Pujian spesifik diberikan serta-merta apabila murid menunjukkan nilai secara spontan</w:t>
            </w:r>
          </w:p>
          <w:p>
            <w:r>
              <w:rPr>
                <w:rFonts w:ascii="Arial" w:hAnsi="Arial"/>
                <w:sz w:val="22"/>
              </w:rPr>
              <w:t>☐ Pendekatan bersifat inklusif merentas kaum dan agama, tidak bersandarkan satu tradisi sahaja</w:t>
            </w:r>
          </w:p>
          <w:p>
            <w:r>
              <w:rPr>
                <w:rFonts w:ascii="Arial" w:hAnsi="Arial"/>
                <w:sz w:val="22"/>
              </w:rPr>
              <w:t>☐ Maklumat nilai dikongsi dengan ibu bapa melalui buku laporan/papan buletin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Aktiviti Pengukuhan</w:t>
            </w:r>
          </w:p>
          <w:p/>
          <w:p>
            <w:r>
              <w:rPr>
                <w:rFonts w:ascii="Arial" w:hAnsi="Arial"/>
                <w:sz w:val="22"/>
              </w:rPr>
              <w:t>• Aktiviti 1: Rancang satu sesi lima minit untuk memperkenalkan nilai "tanggungjawab" melalui tugasan "pembantu hari ini", selaras dengan Related Skills 4.2 "Maintain classroom rules".</w:t>
            </w:r>
          </w:p>
          <w:p/>
          <w:p>
            <w:r>
              <w:rPr>
                <w:rFonts w:ascii="Arial" w:hAnsi="Arial"/>
                <w:sz w:val="22"/>
              </w:rPr>
              <w:t>• Aktiviti 2: Cipta satu lagu atau jingle ringkas (empat baris) dalam Bahasa Malaysia untuk mengukuhkan nilai "berkongsi" yang boleh digunakan sepanjang minggu.</w:t>
            </w:r>
          </w:p>
          <w:p/>
          <w:p>
            <w:r>
              <w:rPr>
                <w:rFonts w:ascii="Arial" w:hAnsi="Arial"/>
                <w:sz w:val="22"/>
              </w:rPr>
              <w:t>• Aktiviti 3: Bincangkan dalam kumpulan bagaimana guru boleh menyesuaikan penceritaan bermoral supaya kekal neutral dari segi budaya dan agama bagi kelas pelbagai kaum, dikaitkan dengan Attitude 4.1 "Fairness towards pupil".</w:t>
            </w:r>
          </w:p>
        </w:tc>
      </w:tr>
    </w:tbl>
    <w:p>
      <w:pPr>
        <w:keepNext/>
      </w:pPr>
      <w:r>
        <w:rPr>
          <w:b/>
          <w:sz w:val="24"/>
        </w:rPr>
        <w:t>14. Hubungan antara Nilai Murni dan Pengurusan Tingkah Laku Jangka Panjang</w:t>
      </w:r>
    </w:p>
    <w:p>
      <w:r>
        <w:t>Nilai murni dan strategi pengurusan tingkah laku yang dibincangkan dalam Bab 1 sebenarnya dua sisi mata wang yang sama, bukan dua topik berasingan. Peneguhan positif (Bab 1) adalah KAEDAH jangka pendek untuk menggalakkan tingkah laku tertentu, manakala penghayatan nilai murni (Bab 2) adalah MATLAMAT jangka panjang supaya murid akhirnya mengamalkan tingkah laku baik walaupun tanpa pujian atau ganjaran luaran. Guru yang berkesan menggunakan peneguhan positif sebagai "jambatan sementara" — memberi pujian spesifik secara kerap pada peringkat awal untuk membentuk tabiat, kemudian secara beransur-ansur mengurangkan kebergantungan kepada pujian luaran apabila nilai tersebut sudah tertanam sebagai motivasi dalaman murid. Guru turut perlu sedar bahawa murid berbeza mengambil masa berbeza untuk menghayati sesuatu nilai — sesetengah murid mungkin memerlukan beberapa bulan pengulangan konsisten sebelum nilai "berkongsi" menjadi kebiasaan semula jadi, dan ini adalah normal dalam konteks perkembangan kanak-kanak prasekolah.</w:t>
      </w:r>
    </w:p>
    <w:p>
      <w:r>
        <w:t>Selain itu, guru perlu membezakan antara pematuhan permukaan (*surface compliance*) — murid mengikut peraturan semata-mata kerana guru sedang memerhati — dengan penghayatan sebenar, di mana murid tetap mengamalkan nilai walaupun tiada orang dewasa memerhati. Petunjuk penghayatan sebenar biasanya muncul apabila murid secara sukarela membetulkan tingkah laku rakan lain ("Eh, kita kena tunggu giliran") tanpa diminta guru berbuat demikian, atau apabila murid menunjukkan rasa bersalah secara semula jadi selepas melakukan kesilapan tanpa perlu ditegur. Perkembangan ini menandakan bahawa nilai tersebut sudah beralih daripada peraturan luaran kepada nilai peribadi murid sendiri — matlamat tertinggi bagi pendidikan nilai pada peringkat prasekolah.</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Rumusan</w:t>
            </w:r>
          </w:p>
          <w:p>
            <w:r>
              <w:rPr>
                <w:rFonts w:ascii="Arial" w:hAnsi="Arial"/>
                <w:sz w:val="22"/>
              </w:rPr>
              <w:t>Amalan nilai murni yang konsisten, dimodelkan oleh guru secara inklusif merentas budaya, disepadukan ke dalam rutin harian melalui langkah yang sistematik, diperkukuh bersama ibu bapa, dan dikaitkan dengan strategi peneguhan positif sebagai jambatan menuju motivasi dalaman, membentuk asas tingkah laku positif murid dan menyokong pengurusan bilik darjah yang harmoni.</w:t>
            </w:r>
          </w:p>
        </w:tc>
      </w:tr>
    </w:tbl>
    <w:p>
      <w:pPr>
        <w:pageBreakBefore/>
        <w:shd w:val="clear" w:color="auto" w:fill="D9D9D9"/>
      </w:pPr>
      <w:r>
        <w:rPr>
          <w:rFonts w:ascii="Arial" w:hAnsi="Arial"/>
          <w:b/>
          <w:sz w:val="28"/>
        </w:rPr>
        <w:t>Bab 3: Effective communication (Introduction basic communication theory; Verbal communication; Non-verbal communication; Active listening; Speaking manner)</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asas teori komunikasi yang berkaitan dengan pengurusan tingkah laku.</w:t>
            </w:r>
          </w:p>
          <w:p/>
          <w:p>
            <w:r>
              <w:rPr>
                <w:rFonts w:ascii="Arial" w:hAnsi="Arial"/>
                <w:sz w:val="22"/>
              </w:rPr>
              <w:t>• Membezakan komunikasi lisan dan bukan lisan dalam konteks bilik darjah.</w:t>
            </w:r>
          </w:p>
          <w:p/>
          <w:p>
            <w:r>
              <w:rPr>
                <w:rFonts w:ascii="Arial" w:hAnsi="Arial"/>
                <w:sz w:val="22"/>
              </w:rPr>
              <w:t>• Mengamalkan pendengaran aktif dan gaya percakapan yang sesuai untuk murid prasekolah.</w:t>
            </w:r>
          </w:p>
        </w:tc>
      </w:tr>
    </w:tbl>
    <w:p>
      <w:pPr>
        <w:keepNext/>
      </w:pPr>
      <w:r>
        <w:rPr>
          <w:b/>
          <w:sz w:val="24"/>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 Model ini turut mengingatkan guru bahawa komunikasi berkesan bukan hanya tanggungjawab penghantar mesej (guru) semata-mata — persekitaran fizikal (bunyi bising, jarak, bilangan murid yang mendengar serentak) turut mempengaruhi sama ada mesej sampai dengan jelas. Justeru, sebelum menyampaikan arahan penting, guru perlu menilai sama ada keadaan sekeliling membenarkan mesej itu diterima dengan berkesan.</w:t>
      </w:r>
    </w:p>
    <w:p>
      <w:pPr>
        <w:keepNext/>
      </w:pPr>
      <w:r>
        <w:rPr>
          <w:b/>
          <w:sz w:val="24"/>
        </w:rPr>
        <w:t>2. Komunikasi Lisan (Verbal)</w:t>
      </w:r>
    </w:p>
    <w:p>
      <w:r>
        <w:t>Arahan lisan kepada murid prasekolah perlu pendek, positif (menyatakan apa yang perlu dilakukan, bukan hanya larangan) — contohnya "Jalan perlahan-lahan" lebih berkesan daripada "Jangan berlari". Selain kependekan dan kepositifan, kosa kata yang digunakan mesti sepadan dengan tahap perbendaharaan kata murid prasekolah — mengelakkan istilah abstrak atau ayat kompleks bersambung. Guru juga digalakkan menggunakan struktur ayat yang konsisten bagi arahan rutin (contoh: sentiasa "Kita kemas sekarang" berbanding menukar-nukar frasa), supaya murid dapat mengenal pasti dan bertindak balas terhadap arahan itu dengan lebih pantas melalui pengecaman corak (*pattern recognition*).</w:t>
      </w:r>
    </w:p>
    <w:p>
      <w:pPr>
        <w:keepNext/>
      </w:pPr>
      <w:r>
        <w:rPr>
          <w:b/>
          <w:sz w:val="24"/>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 Kajian dalam bidang komunikasi kanak-kanak awal turut menunjukkan bahawa murid prasekolah lebih bergantung kepada isyarat bukan lisan (nada suara, ekspresi wajah) berbanding kandungan perkataan itu sendiri untuk mentafsir maksud sebenar mesej — ini bermakna, walaupun perkataan yang digunakan sudah betul dan positif, nada suara yang tegang atau ekspresi marah tetap akan ditafsir murid sebagai ancaman, menjejaskan keberkesanan arahan.</w:t>
      </w:r>
    </w:p>
    <w:p>
      <w:pPr>
        <w:keepNext/>
      </w:pPr>
      <w:r>
        <w:rPr>
          <w:b/>
          <w:sz w:val="24"/>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 Amalan pendengaran aktif turut merangkumi memberi masa murid menyelesaikan ayatnya tanpa dipotong, turun ke paras fizikal murid semasa mendengar, dan mengesahkan emosi murid secara lisan (contoh: "Cikgu faham kamu rasa kecewa kerana giliran belum sampai") sebelum menawarkan penyelesaian — teknik ini dikenali sebagai pengesahan emosi (*emotional validation*) dan membantu murid belajar menamakan serta mengurus emosi sendiri dalam jangka panjang.</w:t>
      </w:r>
    </w:p>
    <w:p>
      <w:pPr>
        <w:keepNext/>
      </w:pPr>
      <w:r>
        <w:rPr>
          <w:b/>
          <w:sz w:val="24"/>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 Papan peraturan visual ini berfungsi sebagai "ingatan senyap" (*silent reminder*) — guru boleh menunjuk sahaja ke papan berkenaan apabila murid terlupa peraturan, mengurangkan keperluan menegur secara lisan berulang kali yang boleh dianggap murid sebagai omelan berterusan. Bilangan peraturan yang dipamerkan sebaiknya dihadkan kepada tiga hingga lima sahaja pada satu-satu masa, kerana murid prasekolah sukar mengingati senarai panjang; peraturan tambahan boleh diperkenalkan secara beransur-ansur selepas peraturan sedia ada dikuasai.</w:t>
      </w:r>
    </w:p>
    <w:p>
      <w:pPr>
        <w:keepNext/>
      </w:pPr>
      <w:r>
        <w:rPr>
          <w:b/>
          <w:sz w:val="24"/>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 Ketidakkonsistenan antara guru — contohnya seorang guru membenarkan murid bercakap semasa masa litar manakala guru lain menegur perkara sama sebagai kesalahan — boleh menyebabkan murid menguji had (*testing limits*) secara berselang-seli mengikut siapa yang bertugas, menyukarkan pembentukan tingkah laku konsisten. Justeru, dokumen ringkas senarai peraturan dan gaya komunikasi yang dipersetujui bersama (boleh dalam bentuk senarai semak seperti sub-tajuk 12 di bawah) elok disimpan dan dirujuk oleh semua guru/pembantu baharu yang menyertai kelas tersebut.</w:t>
      </w:r>
    </w:p>
    <w:p>
      <w:pPr>
        <w:keepNext/>
      </w:pPr>
      <w:r>
        <w:rPr>
          <w:b/>
          <w:sz w:val="24"/>
        </w:rPr>
        <w:t>7. Definisi dan Latar Belakang Teori Komunikasi</w:t>
      </w:r>
    </w:p>
    <w:p>
      <w:r>
        <w:t>Sub-tajuk ini menghuraikan dengan lebih mendalam rangka teori komunikasi yang menyokong amalan praktikal di sub-tajuk 1 hingga 6 di atas, khususnya berkaitan bagaimana mesej diproses oleh murid prasekolah.</w:t>
      </w:r>
    </w:p>
    <w:p>
      <w:r>
        <w:t>Komunikasi berkesan dalam konteks pengurusan tingkah laku prasekolah bukan sekadar kemahiran bercakap, tetapi satu sistem menyeluruh yang merangkumi penghantar mesej (guru), saluran (lisan/bukan lisan), dan penerima (murid) — setiap komponen mesti sepadan dengan tahap perkembangan kognitif dan bahasa murid berusia 4–6 tahun.</w:t>
      </w:r>
    </w:p>
    <w:p>
      <w:r>
        <w:t>Konsep asas yang perlu dikuasai guru:</w:t>
      </w:r>
    </w:p>
    <w:p/>
    <w:p>
      <w:pPr>
        <w:pStyle w:val="ListParagraph"/>
      </w:pPr>
      <w:r>
        <w:t>• Encoding* dan *decoding* — proses guru menyusun mesej (encoding) dan murid mentafsir mesej itu (decoding); pada usia prasekolah, proses decoding murid masih terhad, justeru mesej mesti pendek, konkrit dan disokong visual/isyarat.</w:t>
      </w:r>
    </w:p>
    <w:p/>
    <w:p>
      <w:pPr>
        <w:pStyle w:val="ListParagraph"/>
      </w:pPr>
      <w:r>
        <w:t>• Noise* (gangguan komunikasi) — sebarang faktor yang mengganggu penyampaian mesej dengan berkesan, contohnya bunyi bising bilik darjah, terlalu banyak arahan diberi serentak, atau nada suara yang tidak sepadan dengan mesej (contoh: bercakap lembut semasa mahu menegur keselamatan).</w:t>
      </w:r>
    </w:p>
    <w:p/>
    <w:p>
      <w:pPr>
        <w:pStyle w:val="ListParagraph"/>
      </w:pPr>
      <w:r>
        <w:t>• Feedback loop* (gelung maklum balas) — komunikasi berkesan adalah dua hala; guru perlu memerhati reaksi murid (ekspresi wajah, tindakan) untuk mengesahkan sama ada mesej difahami, bukan menganggap arahan automatik difahami selepas disebut sekali.</w:t>
      </w:r>
    </w:p>
    <w:p/>
    <w:p>
      <w:pPr>
        <w:pStyle w:val="ListParagraph"/>
      </w:pPr>
      <w:r>
        <w:t>• Congruence* (keselarasan) — mesej lisan dan bukan lisan mesti selaras; jika guru berkata "saya tak marah" tetapi nada suara tegas dan kening berkerut, murid lebih mempercayai isyarat bukan lisan berbanding kata-kata.</w:t>
      </w:r>
    </w:p>
    <w:p>
      <w:r>
        <w:t>Rangka ini penting kerana kebanyakan "tingkah laku bermasalah" pada peringkat prasekolah sebenarnya berpunca daripada kegagalan komunikasi — murid tidak faham arahan, bukan sengaja melanggar peraturan. Justeru, sebelum guru menganggap tingkah laku sebagai "degil" atau "tidak patuh", langkah pertama ialah menyemak semula sama ada mesej yang disampaikan benar-benar sesuai dengan tahap kefahaman murid.</w:t>
      </w:r>
    </w:p>
    <w:p>
      <w:pPr>
        <w:keepNext/>
      </w:pPr>
      <w:r>
        <w:rPr>
          <w:b/>
          <w:sz w:val="24"/>
        </w:rPr>
        <w:t>8. Prosedur Langkah Demi Langkah: Menyampaikan Arahan Berkesan</w:t>
      </w:r>
    </w:p>
    <w:p/>
    <w:p>
      <w:pPr>
        <w:pStyle w:val="ListParagraph"/>
      </w:pPr>
      <w:r>
        <w:t>Langkah 1 — Dapatkan tumpuan murid dahulu. Pastikan kontak mata atau isyarat tanda senyap dicapai sebelum arahan disampaikan — arahan yang diberi semasa murid tidak memberi tumpuan jarang berkesan.</w:t>
      </w:r>
    </w:p>
    <w:p/>
    <w:p>
      <w:pPr>
        <w:pStyle w:val="ListParagraph"/>
      </w:pPr>
      <w:r>
        <w:t>Langkah 2 — Turun ke paras mata murid (eye-level). Bertutur pada kedudukan sejajar mata murid supaya nada dan ekspresi wajah dapat dilihat dengan jelas, mengurangkan rasa terancam murid.</w:t>
      </w:r>
    </w:p>
    <w:p/>
    <w:p>
      <w:pPr>
        <w:pStyle w:val="ListParagraph"/>
      </w:pPr>
      <w:r>
        <w:t>Langkah 3 — Sampaikan satu arahan positif pada satu masa. Elakkan menggabungkan pelbagai arahan sekali gus (contoh: elak "Kemas mainan, cuci tangan, dan duduk" — pecahkan kepada satu arahan, tunggu tindakan, baru arahan seterusnya).</w:t>
      </w:r>
    </w:p>
    <w:p/>
    <w:p>
      <w:pPr>
        <w:pStyle w:val="ListParagraph"/>
      </w:pPr>
      <w:r>
        <w:t>Langkah 4 — Gunakan bahasa positif, bukan larangan semata-mata. Nyatakan tingkah laku yang dikehendaki, bukan hanya apa yang dilarang — seperti dalam contoh sub-tajuk 2 ("Jalan perlahan-lahan" berbanding "Jangan berlari").</w:t>
      </w:r>
    </w:p>
    <w:p/>
    <w:p>
      <w:pPr>
        <w:pStyle w:val="ListParagraph"/>
      </w:pPr>
      <w:r>
        <w:t>Langkah 5 — Sahkan kefahaman. Minta murid mengulang arahan secara ringkas atau perhatikan tindakan murid untuk memastikan mesej difahami (gelung maklum balas).</w:t>
      </w:r>
    </w:p>
    <w:p/>
    <w:p>
      <w:pPr>
        <w:pStyle w:val="ListParagraph"/>
      </w:pPr>
      <w:r>
        <w:t>Langkah 6 — Beri masa munasabah untuk bertindak balas. Murid prasekolah memerlukan sedikit masa memproses arahan; elak segera mengulang arahan dalam nada lebih kuat sebelum memberi peluang bertindak.</w:t>
      </w:r>
    </w:p>
    <w:p>
      <w:r>
        <w:t>Enam langkah ini kelihatan mudah dalam teori tetapi memerlukan latihan dan kesedaran diri yang konsisten daripada guru, terutamanya pada waktu tergesa-gesa atau apabila beberapa insiden berlaku serentak dalam bilik darjah. Guru yang berpengalaman biasanya mula menggunakan langkah-langkah ini secara automatik selepas beberapa bulan amalan konsisten, tetapi guru baharu digalakkan berlatih setiap langkah secara sedar terlebih dahulu — contohnya, dengan sengaja mengingatkan diri "turun ke paras mata" sebelum menegur murid — sehingga ia menjadi tabiat semula jadi.</w:t>
      </w:r>
    </w:p>
    <w:p>
      <w:pPr>
        <w:keepNext/>
      </w:pPr>
      <w:r>
        <w:rPr>
          <w:b/>
          <w:sz w:val="24"/>
        </w:rPr>
        <w:t>9. Jadual: Perbandingan Arahan Lisan Berkesan lawan Kurang Berkesan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Arahan Kurang Berkesan</w:t>
            </w:r>
          </w:p>
        </w:tc>
        <w:tc>
          <w:tcPr>
            <w:tcW w:type="dxa" w:w="3104"/>
            <w:shd w:val="clear" w:color="auto" w:fill="D9D9D9"/>
          </w:tcPr>
          <w:p>
            <w:r>
              <w:rPr>
                <w:rFonts w:ascii="Arial" w:hAnsi="Arial"/>
                <w:b/>
                <w:sz w:val="20"/>
              </w:rPr>
              <w:t>Arahan Berkesan (Positif)</w:t>
            </w:r>
          </w:p>
        </w:tc>
      </w:tr>
      <w:tr>
        <w:tc>
          <w:tcPr>
            <w:tcW w:type="dxa" w:w="3104"/>
          </w:tcPr>
          <w:p>
            <w:r>
              <w:rPr>
                <w:rFonts w:ascii="Arial" w:hAnsi="Arial"/>
                <w:sz w:val="20"/>
              </w:rPr>
              <w:t>Murid berlari dalam bilik</w:t>
            </w:r>
          </w:p>
        </w:tc>
        <w:tc>
          <w:tcPr>
            <w:tcW w:type="dxa" w:w="3104"/>
          </w:tcPr>
          <w:p>
            <w:r>
              <w:rPr>
                <w:rFonts w:ascii="Arial" w:hAnsi="Arial"/>
                <w:sz w:val="20"/>
              </w:rPr>
              <w:t>"Jangan berlari!"</w:t>
            </w:r>
          </w:p>
        </w:tc>
        <w:tc>
          <w:tcPr>
            <w:tcW w:type="dxa" w:w="3104"/>
          </w:tcPr>
          <w:p>
            <w:r>
              <w:rPr>
                <w:rFonts w:ascii="Arial" w:hAnsi="Arial"/>
                <w:sz w:val="20"/>
              </w:rPr>
              <w:t>"Jalan perlahan-lahan"</w:t>
            </w:r>
          </w:p>
        </w:tc>
      </w:tr>
      <w:tr>
        <w:tc>
          <w:tcPr>
            <w:tcW w:type="dxa" w:w="3104"/>
          </w:tcPr>
          <w:p>
            <w:r>
              <w:rPr>
                <w:rFonts w:ascii="Arial" w:hAnsi="Arial"/>
                <w:sz w:val="20"/>
              </w:rPr>
              <w:t>Murid bercakap semasa cikgu bercakap</w:t>
            </w:r>
          </w:p>
        </w:tc>
        <w:tc>
          <w:tcPr>
            <w:tcW w:type="dxa" w:w="3104"/>
          </w:tcPr>
          <w:p>
            <w:r>
              <w:rPr>
                <w:rFonts w:ascii="Arial" w:hAnsi="Arial"/>
                <w:sz w:val="20"/>
              </w:rPr>
              <w:t>"Jangan bising!"</w:t>
            </w:r>
          </w:p>
        </w:tc>
        <w:tc>
          <w:tcPr>
            <w:tcW w:type="dxa" w:w="3104"/>
          </w:tcPr>
          <w:p>
            <w:r>
              <w:rPr>
                <w:rFonts w:ascii="Arial" w:hAnsi="Arial"/>
                <w:sz w:val="20"/>
              </w:rPr>
              <w:t>"Kita dengar dengan telinga, bukan mulut"</w:t>
            </w:r>
          </w:p>
        </w:tc>
      </w:tr>
      <w:tr>
        <w:tc>
          <w:tcPr>
            <w:tcW w:type="dxa" w:w="3104"/>
          </w:tcPr>
          <w:p>
            <w:r>
              <w:rPr>
                <w:rFonts w:ascii="Arial" w:hAnsi="Arial"/>
                <w:sz w:val="20"/>
              </w:rPr>
              <w:t>Murid mencorat dinding</w:t>
            </w:r>
          </w:p>
        </w:tc>
        <w:tc>
          <w:tcPr>
            <w:tcW w:type="dxa" w:w="3104"/>
          </w:tcPr>
          <w:p>
            <w:r>
              <w:rPr>
                <w:rFonts w:ascii="Arial" w:hAnsi="Arial"/>
                <w:sz w:val="20"/>
              </w:rPr>
              <w:t>"Jangan conteng dinding!"</w:t>
            </w:r>
          </w:p>
        </w:tc>
        <w:tc>
          <w:tcPr>
            <w:tcW w:type="dxa" w:w="3104"/>
          </w:tcPr>
          <w:p>
            <w:r>
              <w:rPr>
                <w:rFonts w:ascii="Arial" w:hAnsi="Arial"/>
                <w:sz w:val="20"/>
              </w:rPr>
              <w:t>"Lukisan kita letak di atas kertas"</w:t>
            </w:r>
          </w:p>
        </w:tc>
      </w:tr>
      <w:tr>
        <w:tc>
          <w:tcPr>
            <w:tcW w:type="dxa" w:w="3104"/>
          </w:tcPr>
          <w:p>
            <w:r>
              <w:rPr>
                <w:rFonts w:ascii="Arial" w:hAnsi="Arial"/>
                <w:sz w:val="20"/>
              </w:rPr>
              <w:t>Murid merebut mainan</w:t>
            </w:r>
          </w:p>
        </w:tc>
        <w:tc>
          <w:tcPr>
            <w:tcW w:type="dxa" w:w="3104"/>
          </w:tcPr>
          <w:p>
            <w:r>
              <w:rPr>
                <w:rFonts w:ascii="Arial" w:hAnsi="Arial"/>
                <w:sz w:val="20"/>
              </w:rPr>
              <w:t>"Jangan rebut!"</w:t>
            </w:r>
          </w:p>
        </w:tc>
        <w:tc>
          <w:tcPr>
            <w:tcW w:type="dxa" w:w="3104"/>
          </w:tcPr>
          <w:p>
            <w:r>
              <w:rPr>
                <w:rFonts w:ascii="Arial" w:hAnsi="Arial"/>
                <w:sz w:val="20"/>
              </w:rPr>
              <w:t>"Kita tunggu giliran, boleh minta izin dahulu"</w:t>
            </w:r>
          </w:p>
        </w:tc>
      </w:tr>
      <w:tr>
        <w:tc>
          <w:tcPr>
            <w:tcW w:type="dxa" w:w="3104"/>
          </w:tcPr>
          <w:p>
            <w:r>
              <w:rPr>
                <w:rFonts w:ascii="Arial" w:hAnsi="Arial"/>
                <w:sz w:val="20"/>
              </w:rPr>
              <w:t>Murid enggan duduk semasa circle time</w:t>
            </w:r>
          </w:p>
        </w:tc>
        <w:tc>
          <w:tcPr>
            <w:tcW w:type="dxa" w:w="3104"/>
          </w:tcPr>
          <w:p>
            <w:r>
              <w:rPr>
                <w:rFonts w:ascii="Arial" w:hAnsi="Arial"/>
                <w:sz w:val="20"/>
              </w:rPr>
              <w:t>"Jangan berdiri!"</w:t>
            </w:r>
          </w:p>
        </w:tc>
        <w:tc>
          <w:tcPr>
            <w:tcW w:type="dxa" w:w="3104"/>
          </w:tcPr>
          <w:p>
            <w:r>
              <w:rPr>
                <w:rFonts w:ascii="Arial" w:hAnsi="Arial"/>
                <w:sz w:val="20"/>
              </w:rPr>
              <w:t>"Kita duduk sila di atas tikar bersama rakan"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Arahan Berulang yang Tidak Berkesan</w:t>
            </w:r>
          </w:p>
          <w:p>
            <w:r>
              <w:rPr>
                <w:rFonts w:ascii="Arial" w:hAnsi="Arial"/>
                <w:sz w:val="22"/>
              </w:rPr>
              <w:t>Seorang guru baharu di sebuah tadika di Skudai mendapati seorang murid lelaki berusia 5 tahun kerap tidak mematuhi arahan "duduk diam" semasa masa litar, walaupun arahan diulang berkali-kali dengan nada semakin kuat. Selepas pemerhatian, guru mentor mengenal pasti dua isu: pertama, arahan diberikan dari jarak jauh tanpa kontak mata (langkah 1–2 di atas tidak dipatuhi); kedua, arahan bersifat larangan tanpa alternatif tingkah laku yang jelas. Guru kemudian menukar pendekatan — mendekati murid, turun ke paras mata, dan menyatakan "Duduk sila di sebelah cikgu, kita nyanyi lagu sama-sama" — disertai isyarat tangan mengundang. Dalam masa seminggu, kekerapan murid tidak mematuhi arahan berkurangan dengan ketara. Kes ini menunjukkan bahawa kegagalan komunikasi, bukan "keras kepala" murid, sering menjadi punca sebenar tingkah laku yang dianggap mencabar. Guru mentor turut berkongsi pemerhatian tambahan: murid tersebut sebenarnya mempunyai pendengaran yang baik tetapi kerap leka memerhati aktiviti rakan lain di sekelilingnya — justeru langkah "dapatkan tumpuan murid dahulu" (langkah 1) menjadi lebih kritikal bagi murid seperti ini berbanding murid lain yang secara semula jadi lebih mudah memberi tumpuan.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Kajian Kes Tadika: Isyarat Tidak Selaras Antara Dua Guru</w:t>
            </w:r>
          </w:p>
          <w:p>
            <w:r>
              <w:rPr>
                <w:rFonts w:ascii="Arial" w:hAnsi="Arial"/>
                <w:sz w:val="22"/>
              </w:rPr>
              <w:t>Di sebuah tadika dengan dua guru bertugas serentak dalam satu bilik darjah (guru utama dan pembantu guru), murid didapati kerap keliru tentang bila masa bercakap dibenarkan semasa aktiviti berkumpulan — seorang guru membenarkan murid bertanya bila-bila masa, manakala pembantu guru menegur murid supaya mengangkat tangan terlebih dahulu. Percanggahan isyarat ini menyebabkan sebilangan murid nampak "tidak patuh" walaupun sebenarnya mereka hanya mengikut arahan guru yang berbeza pada masa berlainan. Setelah isu ini dikenal pasti semasa mesyuarat perancangan kelas, kedua-dua guru bersetuju menggunakan satu isyarat seragam (tangan diangkat sebelum bercakap) dan mendokumenkannya dalam senarai semak ringkas kelas. Dalam masa dua minggu, keadaan keliru murid berkurangan dan suasana kelas menjadi lebih tenang, mengesahkan kepentingan konsistensi komunikasi antara guru yang dibincangkan dalam sub-tajuk 6.</w:t>
            </w:r>
          </w:p>
        </w:tc>
      </w:tr>
    </w:tbl>
    <w:p>
      <w:pPr>
        <w:keepNext/>
      </w:pPr>
      <w:r>
        <w:rPr>
          <w:b/>
          <w:sz w:val="24"/>
        </w:rPr>
        <w:t>12. Kesilapan Lazim dan Cara Mengelaknya</w:t>
      </w:r>
    </w:p>
    <w:p>
      <w:r>
        <w:t>Kegagalan komunikasi antara guru dan murid sering berpunca daripada beberapa tabiat kecil yang boleh diperbetulkan dengan kesedaran dan latihan. Jadual berikut merumuskan kesilapan lazim yang dikenal pasti dalam amalan bilik darjah prasekolah. Kesilapan ini sering berlaku bukan kerana kurang pengetahuan guru, tetapi kerana tekanan masa dan bilangan murid yang ramai dalam satu-satu masa — justeru latihan berterusan dan sokongan rakan sekerja amat membantu guru mengekalkan amalan komunikasi yang baik walaupun dalam keadaan sibuk.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 Negatif</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Memberi arahan dari jarak jauh tanpa kontak mata</w:t>
            </w:r>
          </w:p>
        </w:tc>
        <w:tc>
          <w:tcPr>
            <w:tcW w:type="dxa" w:w="3104"/>
          </w:tcPr>
          <w:p>
            <w:r>
              <w:rPr>
                <w:rFonts w:ascii="Arial" w:hAnsi="Arial"/>
                <w:sz w:val="20"/>
              </w:rPr>
              <w:t>Murid tidak sedar arahan ditujukan kepadanya</w:t>
            </w:r>
          </w:p>
        </w:tc>
        <w:tc>
          <w:tcPr>
            <w:tcW w:type="dxa" w:w="3104"/>
          </w:tcPr>
          <w:p>
            <w:r>
              <w:rPr>
                <w:rFonts w:ascii="Arial" w:hAnsi="Arial"/>
                <w:sz w:val="20"/>
              </w:rPr>
              <w:t>Dekati murid, capai kontak mata sebelum bercakap</w:t>
            </w:r>
          </w:p>
        </w:tc>
      </w:tr>
      <w:tr>
        <w:tc>
          <w:tcPr>
            <w:tcW w:type="dxa" w:w="3104"/>
          </w:tcPr>
          <w:p>
            <w:r>
              <w:rPr>
                <w:rFonts w:ascii="Arial" w:hAnsi="Arial"/>
                <w:sz w:val="20"/>
              </w:rPr>
              <w:t>Meninggikan nada suara berulang kali apabila arahan tidak dipatuhi</w:t>
            </w:r>
          </w:p>
        </w:tc>
        <w:tc>
          <w:tcPr>
            <w:tcW w:type="dxa" w:w="3104"/>
          </w:tcPr>
          <w:p>
            <w:r>
              <w:rPr>
                <w:rFonts w:ascii="Arial" w:hAnsi="Arial"/>
                <w:sz w:val="20"/>
              </w:rPr>
              <w:t>Murid membiasakan diri dengan nada tinggi, keberkesanan berkurangan</w:t>
            </w:r>
          </w:p>
        </w:tc>
        <w:tc>
          <w:tcPr>
            <w:tcW w:type="dxa" w:w="3104"/>
          </w:tcPr>
          <w:p>
            <w:r>
              <w:rPr>
                <w:rFonts w:ascii="Arial" w:hAnsi="Arial"/>
                <w:sz w:val="20"/>
              </w:rPr>
              <w:t>Kekalkan nada tenang; ubah kaedah penyampaian, bukan kelantangan</w:t>
            </w:r>
          </w:p>
        </w:tc>
      </w:tr>
      <w:tr>
        <w:tc>
          <w:tcPr>
            <w:tcW w:type="dxa" w:w="3104"/>
          </w:tcPr>
          <w:p>
            <w:r>
              <w:rPr>
                <w:rFonts w:ascii="Arial" w:hAnsi="Arial"/>
                <w:sz w:val="20"/>
              </w:rPr>
              <w:t>Memberi terlalu banyak arahan serentak</w:t>
            </w:r>
          </w:p>
        </w:tc>
        <w:tc>
          <w:tcPr>
            <w:tcW w:type="dxa" w:w="3104"/>
          </w:tcPr>
          <w:p>
            <w:r>
              <w:rPr>
                <w:rFonts w:ascii="Arial" w:hAnsi="Arial"/>
                <w:sz w:val="20"/>
              </w:rPr>
              <w:t>Murid keliru dan hanya melaksanakan sebahagian</w:t>
            </w:r>
          </w:p>
        </w:tc>
        <w:tc>
          <w:tcPr>
            <w:tcW w:type="dxa" w:w="3104"/>
          </w:tcPr>
          <w:p>
            <w:r>
              <w:rPr>
                <w:rFonts w:ascii="Arial" w:hAnsi="Arial"/>
                <w:sz w:val="20"/>
              </w:rPr>
              <w:t>Satu arahan mudah pada satu masa</w:t>
            </w:r>
          </w:p>
        </w:tc>
      </w:tr>
      <w:tr>
        <w:tc>
          <w:tcPr>
            <w:tcW w:type="dxa" w:w="3104"/>
          </w:tcPr>
          <w:p>
            <w:r>
              <w:rPr>
                <w:rFonts w:ascii="Arial" w:hAnsi="Arial"/>
                <w:sz w:val="20"/>
              </w:rPr>
              <w:t>Isyarat dan gaya arahan berbeza antara guru dalam kelas sama</w:t>
            </w:r>
          </w:p>
        </w:tc>
        <w:tc>
          <w:tcPr>
            <w:tcW w:type="dxa" w:w="3104"/>
          </w:tcPr>
          <w:p>
            <w:r>
              <w:rPr>
                <w:rFonts w:ascii="Arial" w:hAnsi="Arial"/>
                <w:sz w:val="20"/>
              </w:rPr>
              <w:t>Murid menerima mesej bercanggah</w:t>
            </w:r>
          </w:p>
        </w:tc>
        <w:tc>
          <w:tcPr>
            <w:tcW w:type="dxa" w:w="3104"/>
          </w:tcPr>
          <w:p>
            <w:r>
              <w:rPr>
                <w:rFonts w:ascii="Arial" w:hAnsi="Arial"/>
                <w:sz w:val="20"/>
              </w:rPr>
              <w:t>Selaraskan gaya komunikasi semasa mesyuarat perancangan awal semester</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13. Senarai Semak Ringkas untuk Guru (Sedia Fotokopi)</w:t>
            </w:r>
          </w:p>
          <w:p>
            <w:r>
              <w:rPr>
                <w:rFonts w:ascii="Arial" w:hAnsi="Arial"/>
                <w:sz w:val="22"/>
              </w:rPr>
              <w:t>☐ Kontak mata/isyarat tumpuan dicapai sebelum arahan diberi</w:t>
            </w:r>
          </w:p>
          <w:p>
            <w:r>
              <w:rPr>
                <w:rFonts w:ascii="Arial" w:hAnsi="Arial"/>
                <w:sz w:val="22"/>
              </w:rPr>
              <w:t>☐ Guru berada pada paras mata murid semasa bercakap</w:t>
            </w:r>
          </w:p>
          <w:p>
            <w:r>
              <w:rPr>
                <w:rFonts w:ascii="Arial" w:hAnsi="Arial"/>
                <w:sz w:val="22"/>
              </w:rPr>
              <w:t>☐ Arahan diberikan secara positif (menyatakan tingkah laku dikehendaki)</w:t>
            </w:r>
          </w:p>
          <w:p>
            <w:r>
              <w:rPr>
                <w:rFonts w:ascii="Arial" w:hAnsi="Arial"/>
                <w:sz w:val="22"/>
              </w:rPr>
              <w:t>☐ Satu arahan mudah diberikan pada satu masa</w:t>
            </w:r>
          </w:p>
          <w:p>
            <w:r>
              <w:rPr>
                <w:rFonts w:ascii="Arial" w:hAnsi="Arial"/>
                <w:sz w:val="22"/>
              </w:rPr>
              <w:t>☐ Nada suara kekal tenang walaupun arahan diulang</w:t>
            </w:r>
          </w:p>
          <w:p>
            <w:r>
              <w:rPr>
                <w:rFonts w:ascii="Arial" w:hAnsi="Arial"/>
                <w:sz w:val="22"/>
              </w:rPr>
              <w:t>☐ Peraturan bilik darjah dipamerkan secara visual pada paras mata murid</w:t>
            </w:r>
          </w:p>
          <w:p>
            <w:r>
              <w:rPr>
                <w:rFonts w:ascii="Arial" w:hAnsi="Arial"/>
                <w:sz w:val="22"/>
              </w:rPr>
              <w:t>☐ Gaya arahan diselaraskan antara semua guru/pembantu dalam kelas 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14. Aktiviti Pengukuhan</w:t>
            </w:r>
          </w:p>
          <w:p/>
          <w:p>
            <w:r>
              <w:rPr>
                <w:rFonts w:ascii="Arial" w:hAnsi="Arial"/>
                <w:sz w:val="22"/>
              </w:rPr>
              <w:t>• Aktiviti 1: Dalam pasangan, latih tubi menukar lima arahan negatif biasa ("Jangan…") kepada arahan positif, selaras dengan Related Skills 4.2 "Maintain classroom rules".</w:t>
            </w:r>
          </w:p>
          <w:p/>
          <w:p>
            <w:r>
              <w:rPr>
                <w:rFonts w:ascii="Arial" w:hAnsi="Arial"/>
                <w:sz w:val="22"/>
              </w:rPr>
              <w:t>• Aktiviti 2: Reka satu set kad isyarat tangan (contoh: tangan diangkat untuk senyap, jari di bibir untuk tenang) yang boleh digunakan seragam oleh semua guru dalam kelas, selaras dengan sub-tajuk 6.</w:t>
            </w:r>
          </w:p>
          <w:p/>
          <w:p>
            <w:r>
              <w:rPr>
                <w:rFonts w:ascii="Arial" w:hAnsi="Arial"/>
                <w:sz w:val="22"/>
              </w:rPr>
              <w:t>• Aktiviti 3: Bina satu papan visual mudah (lukisan tangan atau gunting-tampal) memaparkan tiga peraturan bilik darjah dalam bahasa positif dan mesra kanak-kanak, selaras dengan Performance Criteria 4.1 "Clear rules displayed using age-appropriate visuals and language".</w:t>
            </w:r>
          </w:p>
        </w:tc>
      </w:tr>
    </w:tbl>
    <w:p>
      <w:pPr>
        <w:keepNext/>
      </w:pPr>
      <w:r>
        <w:rPr>
          <w:b/>
          <w:sz w:val="24"/>
        </w:rPr>
        <w:t>15. Komunikasi sebagai Benang Penghubung Ketiga-tiga Bab</w:t>
      </w:r>
    </w:p>
    <w:p>
      <w:r>
        <w:t>Komunikasi berkesan bukan sahaja alat berasingan, tetapi benang penghubung yang menyatukan teori tingkah laku (Bab 1) dan amalan nilai murni (Bab 2) menjadi satu sistem pengurusan bilik darjah yang koheren. Peneguhan positif hanya berkesan jika disampaikan melalui komunikasi yang jelas dan tepat pada masanya (pujian spesifik memerlukan bahasa lisan yang tepat); penghayatan nilai murni juga bergantung kepada bagaimana guru berkomunikasi ketika memodelkan tingkah laku tersebut (nada suara sabar semasa mengajar nilai kesabaran, sebagai contoh). Guru yang menguasai kemahiran komunikasi — lisan, bukan lisan, dan pendengaran aktif — secara automatik memperkukuhkan keberkesanan kedua-dua strategi lain dalam nota pembelajaran ini. Ini menjelaskan mengapa Related Knowledge bagi Work Activity ini merangkumi ketiga-tiga bidang (teori tingkah laku, nilai murni, komunikasi) sebagai satu kesatuan kompetensi "Control pupil's behaviour", bukan tiga kemahiran berasingan yang tidak berkaitan.</w:t>
      </w:r>
    </w:p>
    <w:p>
      <w:r>
        <w:t>Secara praktikal, guru yang ingin menilai sama ada pengurusan tingkah laku di kelasnya berkesan boleh menggunakan tiga soalan refleksi ringkas berdasarkan ketiga-tiga bab ini: pertama, adakah saya memberi pengiktirafan positif lebih kerap berbanding teguran (Bab 1)? Kedua, adakah murid menunjukkan tanda penghayatan nilai secara sukarela, bukan hanya pematuhan permukaan (Bab 2)? Ketiga, adakah arahan dan isyarat saya jelas, konsisten dan disampaikan dengan cara yang menghormati murid (Bab 3)? Refleksi berkala menggunakan ketiga-tiga soalan ini membantu guru mengekalkan pendekatan yang seimbang dan bukan hanya bergantung kepada satu strategi tunggal dalam mengurus tingkah laku sepanjang tahun persekolahan.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Rumusan</w:t>
            </w:r>
          </w:p>
          <w:p>
            <w:r>
              <w:rPr>
                <w:rFonts w:ascii="Arial" w:hAnsi="Arial"/>
                <w:sz w:val="22"/>
              </w:rPr>
              <w:t>Komunikasi berkesan — gabungan arahan lisan yang jelas dan positif, isyarat bukan lisan yang tenang, pendengaran aktif, peraturan bervisual yang dipamerkan kekal, prosedur penyampaian arahan yang sistematik, konsistensi antara guru, dan peranannya sebagai benang penghubung teori tingkah laku dengan amalan nilai murni — adalah alat asas dalam mengawal tingkah laku murid secara positif dan menghormati maruah kanak-kanak.</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Inggeris</w:t>
            </w:r>
          </w:p>
        </w:tc>
        <w:tc>
          <w:tcPr>
            <w:tcW w:type="dxa" w:w="4656"/>
            <w:shd w:val="clear" w:color="auto" w:fill="D9D9D9"/>
          </w:tcPr>
          <w:p>
            <w:r>
              <w:rPr>
                <w:rFonts w:ascii="Arial" w:hAnsi="Arial"/>
                <w:b/>
                <w:sz w:val="20"/>
              </w:rPr>
              <w:t>Maksud Bahasa Malaysia</w:t>
            </w:r>
          </w:p>
        </w:tc>
      </w:tr>
      <w:tr>
        <w:tc>
          <w:tcPr>
            <w:tcW w:type="dxa" w:w="4656"/>
          </w:tcPr>
          <w:p>
            <w:r>
              <w:rPr>
                <w:rFonts w:ascii="Arial" w:hAnsi="Arial"/>
                <w:sz w:val="20"/>
              </w:rPr>
              <w:t>Operant conditioning</w:t>
            </w:r>
          </w:p>
        </w:tc>
        <w:tc>
          <w:tcPr>
            <w:tcW w:type="dxa" w:w="4656"/>
          </w:tcPr>
          <w:p>
            <w:r>
              <w:rPr>
                <w:rFonts w:ascii="Arial" w:hAnsi="Arial"/>
                <w:sz w:val="20"/>
              </w:rPr>
              <w:t>Pelaziman operan</w:t>
            </w:r>
          </w:p>
        </w:tc>
      </w:tr>
      <w:tr>
        <w:tc>
          <w:tcPr>
            <w:tcW w:type="dxa" w:w="4656"/>
          </w:tcPr>
          <w:p>
            <w:r>
              <w:rPr>
                <w:rFonts w:ascii="Arial" w:hAnsi="Arial"/>
                <w:sz w:val="20"/>
              </w:rPr>
              <w:t>Social learning theory</w:t>
            </w:r>
          </w:p>
        </w:tc>
        <w:tc>
          <w:tcPr>
            <w:tcW w:type="dxa" w:w="4656"/>
          </w:tcPr>
          <w:p>
            <w:r>
              <w:rPr>
                <w:rFonts w:ascii="Arial" w:hAnsi="Arial"/>
                <w:sz w:val="20"/>
              </w:rPr>
              <w:t>Teori pembelajaran sosial</w:t>
            </w:r>
          </w:p>
        </w:tc>
      </w:tr>
      <w:tr>
        <w:tc>
          <w:tcPr>
            <w:tcW w:type="dxa" w:w="4656"/>
          </w:tcPr>
          <w:p>
            <w:r>
              <w:rPr>
                <w:rFonts w:ascii="Arial" w:hAnsi="Arial"/>
                <w:sz w:val="20"/>
              </w:rPr>
              <w:t>Positive reinforcement</w:t>
            </w:r>
          </w:p>
        </w:tc>
        <w:tc>
          <w:tcPr>
            <w:tcW w:type="dxa" w:w="4656"/>
          </w:tcPr>
          <w:p>
            <w:r>
              <w:rPr>
                <w:rFonts w:ascii="Arial" w:hAnsi="Arial"/>
                <w:sz w:val="20"/>
              </w:rPr>
              <w:t>Peneguhan positif</w:t>
            </w:r>
          </w:p>
        </w:tc>
      </w:tr>
      <w:tr>
        <w:tc>
          <w:tcPr>
            <w:tcW w:type="dxa" w:w="4656"/>
          </w:tcPr>
          <w:p>
            <w:r>
              <w:rPr>
                <w:rFonts w:ascii="Arial" w:hAnsi="Arial"/>
                <w:sz w:val="20"/>
              </w:rPr>
              <w:t>Negative reinforcement</w:t>
            </w:r>
          </w:p>
        </w:tc>
        <w:tc>
          <w:tcPr>
            <w:tcW w:type="dxa" w:w="4656"/>
          </w:tcPr>
          <w:p>
            <w:r>
              <w:rPr>
                <w:rFonts w:ascii="Arial" w:hAnsi="Arial"/>
                <w:sz w:val="20"/>
              </w:rPr>
              <w:t>Peneguhan negatif</w:t>
            </w:r>
          </w:p>
        </w:tc>
      </w:tr>
      <w:tr>
        <w:tc>
          <w:tcPr>
            <w:tcW w:type="dxa" w:w="4656"/>
          </w:tcPr>
          <w:p>
            <w:r>
              <w:rPr>
                <w:rFonts w:ascii="Arial" w:hAnsi="Arial"/>
                <w:sz w:val="20"/>
              </w:rPr>
              <w:t>Punishment</w:t>
            </w:r>
          </w:p>
        </w:tc>
        <w:tc>
          <w:tcPr>
            <w:tcW w:type="dxa" w:w="4656"/>
          </w:tcPr>
          <w:p>
            <w:r>
              <w:rPr>
                <w:rFonts w:ascii="Arial" w:hAnsi="Arial"/>
                <w:sz w:val="20"/>
              </w:rPr>
              <w:t>Hukuman</w:t>
            </w:r>
          </w:p>
        </w:tc>
      </w:tr>
      <w:tr>
        <w:tc>
          <w:tcPr>
            <w:tcW w:type="dxa" w:w="4656"/>
          </w:tcPr>
          <w:p>
            <w:r>
              <w:rPr>
                <w:rFonts w:ascii="Arial" w:hAnsi="Arial"/>
                <w:sz w:val="20"/>
              </w:rPr>
              <w:t>Self-regulation</w:t>
            </w:r>
          </w:p>
        </w:tc>
        <w:tc>
          <w:tcPr>
            <w:tcW w:type="dxa" w:w="4656"/>
          </w:tcPr>
          <w:p>
            <w:r>
              <w:rPr>
                <w:rFonts w:ascii="Arial" w:hAnsi="Arial"/>
                <w:sz w:val="20"/>
              </w:rPr>
              <w:t>Kawalan kendiri</w:t>
            </w:r>
          </w:p>
        </w:tc>
      </w:tr>
      <w:tr>
        <w:tc>
          <w:tcPr>
            <w:tcW w:type="dxa" w:w="4656"/>
          </w:tcPr>
          <w:p>
            <w:r>
              <w:rPr>
                <w:rFonts w:ascii="Arial" w:hAnsi="Arial"/>
                <w:sz w:val="20"/>
              </w:rPr>
              <w:t>Vicarious learning</w:t>
            </w:r>
          </w:p>
        </w:tc>
        <w:tc>
          <w:tcPr>
            <w:tcW w:type="dxa" w:w="4656"/>
          </w:tcPr>
          <w:p>
            <w:r>
              <w:rPr>
                <w:rFonts w:ascii="Arial" w:hAnsi="Arial"/>
                <w:sz w:val="20"/>
              </w:rPr>
              <w:t>Pembelajaran melalui pemerhatian</w:t>
            </w:r>
          </w:p>
        </w:tc>
      </w:tr>
      <w:tr>
        <w:tc>
          <w:tcPr>
            <w:tcW w:type="dxa" w:w="4656"/>
          </w:tcPr>
          <w:p>
            <w:r>
              <w:rPr>
                <w:rFonts w:ascii="Arial" w:hAnsi="Arial"/>
                <w:sz w:val="20"/>
              </w:rPr>
              <w:t>Antecedent–Behaviour–Consequence (ABC)</w:t>
            </w:r>
          </w:p>
        </w:tc>
        <w:tc>
          <w:tcPr>
            <w:tcW w:type="dxa" w:w="4656"/>
          </w:tcPr>
          <w:p>
            <w:r>
              <w:rPr>
                <w:rFonts w:ascii="Arial" w:hAnsi="Arial"/>
                <w:sz w:val="20"/>
              </w:rPr>
              <w:t>Pencetus–Tingkah Laku–Akibat</w:t>
            </w:r>
          </w:p>
        </w:tc>
      </w:tr>
      <w:tr>
        <w:tc>
          <w:tcPr>
            <w:tcW w:type="dxa" w:w="4656"/>
          </w:tcPr>
          <w:p>
            <w:r>
              <w:rPr>
                <w:rFonts w:ascii="Arial" w:hAnsi="Arial"/>
                <w:sz w:val="20"/>
              </w:rPr>
              <w:t>Escalation ladder</w:t>
            </w:r>
          </w:p>
        </w:tc>
        <w:tc>
          <w:tcPr>
            <w:tcW w:type="dxa" w:w="4656"/>
          </w:tcPr>
          <w:p>
            <w:r>
              <w:rPr>
                <w:rFonts w:ascii="Arial" w:hAnsi="Arial"/>
                <w:sz w:val="20"/>
              </w:rPr>
              <w:t>Tangga eskalasi</w:t>
            </w:r>
          </w:p>
        </w:tc>
      </w:tr>
      <w:tr>
        <w:tc>
          <w:tcPr>
            <w:tcW w:type="dxa" w:w="4656"/>
          </w:tcPr>
          <w:p>
            <w:r>
              <w:rPr>
                <w:rFonts w:ascii="Arial" w:hAnsi="Arial"/>
                <w:sz w:val="20"/>
              </w:rPr>
              <w:t>Guided time-out</w:t>
            </w:r>
          </w:p>
        </w:tc>
        <w:tc>
          <w:tcPr>
            <w:tcW w:type="dxa" w:w="4656"/>
          </w:tcPr>
          <w:p>
            <w:r>
              <w:rPr>
                <w:rFonts w:ascii="Arial" w:hAnsi="Arial"/>
                <w:sz w:val="20"/>
              </w:rPr>
              <w:t>Masa rehat berpandu</w:t>
            </w:r>
          </w:p>
        </w:tc>
      </w:tr>
      <w:tr>
        <w:tc>
          <w:tcPr>
            <w:tcW w:type="dxa" w:w="4656"/>
          </w:tcPr>
          <w:p>
            <w:r>
              <w:rPr>
                <w:rFonts w:ascii="Arial" w:hAnsi="Arial"/>
                <w:sz w:val="20"/>
              </w:rPr>
              <w:t>Values internalisation</w:t>
            </w:r>
          </w:p>
        </w:tc>
        <w:tc>
          <w:tcPr>
            <w:tcW w:type="dxa" w:w="4656"/>
          </w:tcPr>
          <w:p>
            <w:r>
              <w:rPr>
                <w:rFonts w:ascii="Arial" w:hAnsi="Arial"/>
                <w:sz w:val="20"/>
              </w:rPr>
              <w:t>Penghayatan nilai</w:t>
            </w:r>
          </w:p>
        </w:tc>
      </w:tr>
      <w:tr>
        <w:tc>
          <w:tcPr>
            <w:tcW w:type="dxa" w:w="4656"/>
          </w:tcPr>
          <w:p>
            <w:r>
              <w:rPr>
                <w:rFonts w:ascii="Arial" w:hAnsi="Arial"/>
                <w:sz w:val="20"/>
              </w:rPr>
              <w:t>Modelling</w:t>
            </w:r>
          </w:p>
        </w:tc>
        <w:tc>
          <w:tcPr>
            <w:tcW w:type="dxa" w:w="4656"/>
          </w:tcPr>
          <w:p>
            <w:r>
              <w:rPr>
                <w:rFonts w:ascii="Arial" w:hAnsi="Arial"/>
                <w:sz w:val="20"/>
              </w:rPr>
              <w:t>Pemodelan</w:t>
            </w:r>
          </w:p>
        </w:tc>
      </w:tr>
      <w:tr>
        <w:tc>
          <w:tcPr>
            <w:tcW w:type="dxa" w:w="4656"/>
          </w:tcPr>
          <w:p>
            <w:r>
              <w:rPr>
                <w:rFonts w:ascii="Arial" w:hAnsi="Arial"/>
                <w:sz w:val="20"/>
              </w:rPr>
              <w:t>Moral reasoning</w:t>
            </w:r>
          </w:p>
        </w:tc>
        <w:tc>
          <w:tcPr>
            <w:tcW w:type="dxa" w:w="4656"/>
          </w:tcPr>
          <w:p>
            <w:r>
              <w:rPr>
                <w:rFonts w:ascii="Arial" w:hAnsi="Arial"/>
                <w:sz w:val="20"/>
              </w:rPr>
              <w:t>Penaakulan moral</w:t>
            </w:r>
          </w:p>
        </w:tc>
      </w:tr>
      <w:tr>
        <w:tc>
          <w:tcPr>
            <w:tcW w:type="dxa" w:w="4656"/>
          </w:tcPr>
          <w:p>
            <w:r>
              <w:rPr>
                <w:rFonts w:ascii="Arial" w:hAnsi="Arial"/>
                <w:sz w:val="20"/>
              </w:rPr>
              <w:t>Encoding</w:t>
            </w:r>
          </w:p>
        </w:tc>
        <w:tc>
          <w:tcPr>
            <w:tcW w:type="dxa" w:w="4656"/>
          </w:tcPr>
          <w:p>
            <w:r>
              <w:rPr>
                <w:rFonts w:ascii="Arial" w:hAnsi="Arial"/>
                <w:sz w:val="20"/>
              </w:rPr>
              <w:t>Penyusunan mesej</w:t>
            </w:r>
          </w:p>
        </w:tc>
      </w:tr>
      <w:tr>
        <w:tc>
          <w:tcPr>
            <w:tcW w:type="dxa" w:w="4656"/>
          </w:tcPr>
          <w:p>
            <w:r>
              <w:rPr>
                <w:rFonts w:ascii="Arial" w:hAnsi="Arial"/>
                <w:sz w:val="20"/>
              </w:rPr>
              <w:t>Decoding</w:t>
            </w:r>
          </w:p>
        </w:tc>
        <w:tc>
          <w:tcPr>
            <w:tcW w:type="dxa" w:w="4656"/>
          </w:tcPr>
          <w:p>
            <w:r>
              <w:rPr>
                <w:rFonts w:ascii="Arial" w:hAnsi="Arial"/>
                <w:sz w:val="20"/>
              </w:rPr>
              <w:t>Tafsiran mesej</w:t>
            </w:r>
          </w:p>
        </w:tc>
      </w:tr>
      <w:tr>
        <w:tc>
          <w:tcPr>
            <w:tcW w:type="dxa" w:w="4656"/>
          </w:tcPr>
          <w:p>
            <w:r>
              <w:rPr>
                <w:rFonts w:ascii="Arial" w:hAnsi="Arial"/>
                <w:sz w:val="20"/>
              </w:rPr>
              <w:t>Noise (communication)</w:t>
            </w:r>
          </w:p>
        </w:tc>
        <w:tc>
          <w:tcPr>
            <w:tcW w:type="dxa" w:w="4656"/>
          </w:tcPr>
          <w:p>
            <w:r>
              <w:rPr>
                <w:rFonts w:ascii="Arial" w:hAnsi="Arial"/>
                <w:sz w:val="20"/>
              </w:rPr>
              <w:t>Gangguan komunikasi</w:t>
            </w:r>
          </w:p>
        </w:tc>
      </w:tr>
      <w:tr>
        <w:tc>
          <w:tcPr>
            <w:tcW w:type="dxa" w:w="4656"/>
          </w:tcPr>
          <w:p>
            <w:r>
              <w:rPr>
                <w:rFonts w:ascii="Arial" w:hAnsi="Arial"/>
                <w:sz w:val="20"/>
              </w:rPr>
              <w:t>Feedback loop</w:t>
            </w:r>
          </w:p>
        </w:tc>
        <w:tc>
          <w:tcPr>
            <w:tcW w:type="dxa" w:w="4656"/>
          </w:tcPr>
          <w:p>
            <w:r>
              <w:rPr>
                <w:rFonts w:ascii="Arial" w:hAnsi="Arial"/>
                <w:sz w:val="20"/>
              </w:rPr>
              <w:t>Gelung maklum balas</w:t>
            </w:r>
          </w:p>
        </w:tc>
      </w:tr>
      <w:tr>
        <w:tc>
          <w:tcPr>
            <w:tcW w:type="dxa" w:w="4656"/>
          </w:tcPr>
          <w:p>
            <w:r>
              <w:rPr>
                <w:rFonts w:ascii="Arial" w:hAnsi="Arial"/>
                <w:sz w:val="20"/>
              </w:rPr>
              <w:t>Congruence</w:t>
            </w:r>
          </w:p>
        </w:tc>
        <w:tc>
          <w:tcPr>
            <w:tcW w:type="dxa" w:w="4656"/>
          </w:tcPr>
          <w:p>
            <w:r>
              <w:rPr>
                <w:rFonts w:ascii="Arial" w:hAnsi="Arial"/>
                <w:sz w:val="20"/>
              </w:rPr>
              <w:t>Keselarasan (mesej lisan dan bukan lisan)</w:t>
            </w:r>
          </w:p>
        </w:tc>
      </w:tr>
      <w:tr>
        <w:tc>
          <w:tcPr>
            <w:tcW w:type="dxa" w:w="4656"/>
          </w:tcPr>
          <w:p>
            <w:r>
              <w:rPr>
                <w:rFonts w:ascii="Arial" w:hAnsi="Arial"/>
                <w:sz w:val="20"/>
              </w:rPr>
              <w:t>Eye-level</w:t>
            </w:r>
          </w:p>
        </w:tc>
        <w:tc>
          <w:tcPr>
            <w:tcW w:type="dxa" w:w="4656"/>
          </w:tcPr>
          <w:p>
            <w:r>
              <w:rPr>
                <w:rFonts w:ascii="Arial" w:hAnsi="Arial"/>
                <w:sz w:val="20"/>
              </w:rPr>
              <w:t>Paras mata</w:t>
            </w:r>
          </w:p>
        </w:tc>
      </w:tr>
      <w:tr>
        <w:tc>
          <w:tcPr>
            <w:tcW w:type="dxa" w:w="4656"/>
          </w:tcPr>
          <w:p>
            <w:r>
              <w:rPr>
                <w:rFonts w:ascii="Arial" w:hAnsi="Arial"/>
                <w:sz w:val="20"/>
              </w:rPr>
              <w:t>Redirection</w:t>
            </w:r>
          </w:p>
        </w:tc>
        <w:tc>
          <w:tcPr>
            <w:tcW w:type="dxa" w:w="4656"/>
          </w:tcPr>
          <w:p>
            <w:r>
              <w:rPr>
                <w:rFonts w:ascii="Arial" w:hAnsi="Arial"/>
                <w:sz w:val="20"/>
              </w:rPr>
              <w:t>Alih perhatian</w:t>
            </w:r>
          </w:p>
        </w:tc>
      </w:tr>
      <w:tr>
        <w:tc>
          <w:tcPr>
            <w:tcW w:type="dxa" w:w="4656"/>
          </w:tcPr>
          <w:p>
            <w:r>
              <w:rPr>
                <w:rFonts w:ascii="Arial" w:hAnsi="Arial"/>
                <w:sz w:val="20"/>
              </w:rPr>
              <w:t>Separation anxiety</w:t>
            </w:r>
          </w:p>
        </w:tc>
        <w:tc>
          <w:tcPr>
            <w:tcW w:type="dxa" w:w="4656"/>
          </w:tcPr>
          <w:p>
            <w:r>
              <w:rPr>
                <w:rFonts w:ascii="Arial" w:hAnsi="Arial"/>
                <w:sz w:val="20"/>
              </w:rPr>
              <w:t>Kebimbangan perpisahan</w:t>
            </w:r>
          </w:p>
        </w:tc>
      </w:tr>
      <w:tr>
        <w:tc>
          <w:tcPr>
            <w:tcW w:type="dxa" w:w="4656"/>
          </w:tcPr>
          <w:p>
            <w:r>
              <w:rPr>
                <w:rFonts w:ascii="Arial" w:hAnsi="Arial"/>
                <w:sz w:val="20"/>
              </w:rPr>
              <w:t>Circle time</w:t>
            </w:r>
          </w:p>
        </w:tc>
        <w:tc>
          <w:tcPr>
            <w:tcW w:type="dxa" w:w="4656"/>
          </w:tcPr>
          <w:p>
            <w:r>
              <w:rPr>
                <w:rFonts w:ascii="Arial" w:hAnsi="Arial"/>
                <w:sz w:val="20"/>
              </w:rPr>
              <w:t>Masa litar</w:t>
            </w:r>
          </w:p>
        </w:tc>
      </w:tr>
      <w:tr>
        <w:tc>
          <w:tcPr>
            <w:tcW w:type="dxa" w:w="4656"/>
          </w:tcPr>
          <w:p>
            <w:r>
              <w:rPr>
                <w:rFonts w:ascii="Arial" w:hAnsi="Arial"/>
                <w:sz w:val="20"/>
              </w:rPr>
              <w:t>Child-friendly language</w:t>
            </w:r>
          </w:p>
        </w:tc>
        <w:tc>
          <w:tcPr>
            <w:tcW w:type="dxa" w:w="4656"/>
          </w:tcPr>
          <w:p>
            <w:r>
              <w:rPr>
                <w:rFonts w:ascii="Arial" w:hAnsi="Arial"/>
                <w:sz w:val="20"/>
              </w:rPr>
              <w:t>Bahasa mesra kanak-kanak</w:t>
            </w:r>
          </w:p>
        </w:tc>
      </w:tr>
      <w:tr>
        <w:tc>
          <w:tcPr>
            <w:tcW w:type="dxa" w:w="4656"/>
          </w:tcPr>
          <w:p>
            <w:r>
              <w:rPr>
                <w:rFonts w:ascii="Arial" w:hAnsi="Arial"/>
                <w:sz w:val="20"/>
              </w:rPr>
              <w:t>Observable behaviour</w:t>
            </w:r>
          </w:p>
        </w:tc>
        <w:tc>
          <w:tcPr>
            <w:tcW w:type="dxa" w:w="4656"/>
          </w:tcPr>
          <w:p>
            <w:r>
              <w:rPr>
                <w:rFonts w:ascii="Arial" w:hAnsi="Arial"/>
                <w:sz w:val="20"/>
              </w:rPr>
              <w:t>Tingkah laku boleh diperhatikan</w:t>
            </w:r>
          </w:p>
        </w:tc>
      </w:tr>
      <w:tr>
        <w:tc>
          <w:tcPr>
            <w:tcW w:type="dxa" w:w="4656"/>
          </w:tcPr>
          <w:p>
            <w:r>
              <w:rPr>
                <w:rFonts w:ascii="Arial" w:hAnsi="Arial"/>
                <w:sz w:val="20"/>
              </w:rPr>
              <w:t>Function of behaviour</w:t>
            </w:r>
          </w:p>
        </w:tc>
        <w:tc>
          <w:tcPr>
            <w:tcW w:type="dxa" w:w="4656"/>
          </w:tcPr>
          <w:p>
            <w:r>
              <w:rPr>
                <w:rFonts w:ascii="Arial" w:hAnsi="Arial"/>
                <w:sz w:val="20"/>
              </w:rPr>
              <w:t>Fungsi tingkah laku</w:t>
            </w:r>
          </w:p>
        </w:tc>
      </w:tr>
    </w:tbl>
    <w:p>
      <w:r>
        <w:rPr>
          <w:b/>
        </w:rPr>
        <w:t>SOALAN:</w:t>
      </w:r>
    </w:p>
    <w:p/>
    <w:p>
      <w:pPr>
        <w:pStyle w:val="ListParagraph"/>
      </w:pPr>
      <w:r>
        <w:t>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
      <w:pPr>
        <w:pStyle w:val="ListParagraph"/>
      </w:pPr>
      <w:r>
        <w:t>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
      <w:pPr>
        <w:pStyle w:val="ListParagraph"/>
      </w:pPr>
      <w:r>
        <w:t>Namakan dua nilai murni teras KSPK dan berikan satu contoh amalan harian bagi setiap satu.</w:t>
      </w:r>
    </w:p>
    <w:p>
      <w:r>
        <w:t>Jawapan model: Berkongsi — sistem giliran mainan dengan pemasa pasir; Hormat — menunggu giliran bercakap semasa sesi "circle time".</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P851-002-4:2025-C03/NP(4/4)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