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P851-002-4:2025-C05-W01 / Carry out preschool parental-community activities</w:t>
            </w:r>
          </w:p>
          <w:p>
            <w:r>
              <w:t>P851-002-4:2025-C05-W02 / Engage relationship with family and community</w:t>
            </w:r>
          </w:p>
          <w:p>
            <w:r>
              <w:rPr>
                <w:b/>
              </w:rP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P851-002-4:2025-C05/NP(3/3)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r>
        <w:rPr>
          <w:b/>
        </w:rPr>
        <w:t>PROSES KERJA BERKAITAN:</w:t>
      </w:r>
    </w:p>
    <w:p>
      <w:r>
        <w:t>P12</w:t>
      </w:r>
    </w:p>
    <w:p>
      <w:r>
        <w:rPr>
          <w:b/>
        </w:rPr>
        <w:t>JAM PENGETAHUAN:</w:t>
      </w:r>
    </w:p>
    <w:p>
      <w:r>
        <w:t>33.6 j (168 j x 20% pemberat WA)</w:t>
      </w:r>
    </w:p>
    <w:p/>
    <w:p>
      <w:r>
        <w:rPr>
          <w:b/>
        </w:rPr>
        <w:t>TAJUK:</w:t>
      </w:r>
    </w:p>
    <w:p>
      <w:r>
        <w:t>Menyediakan Laporan Aktiviti Ibu Bapa-Komuniti (Preparing Report of Parental-Community Activities)</w:t>
      </w:r>
    </w:p>
    <w:p/>
    <w:p>
      <w:r>
        <w:rPr>
          <w:b/>
        </w:rPr>
        <w:t>TUJUAN:</w:t>
      </w:r>
    </w:p>
    <w:p>
      <w:r>
        <w:t>Nota Pembelajaran ini bertujuan untuk membimbing Bakat memahami dan menguasai proses menyediakan laporan selepas pelaksanaan aktiviti ibu bapa-komuniti, merangkumi (Bab 1) prosedur mengumpul maklum balas peserta, (Bab 2) format penulisan laporan ringkasan, serta (Bab 3) prosedur menjalankan mesyuarat pasca-mortem. Kesemua topik ini penting kerana laporan dan penilaian selepas aktiviti membolehkan tadika menambah baik program pada masa hadapan dan menjadi rekod pertanggungjawaban kepada pihak pengurusan, sekali gus menutup kitaran lengkap CU "Handle Parental-Community Activities" bermula daripada perancangan hinggalah penilaian akhir. Selepas melalui nota ini, Bakat akan berupaya untuk:</w:t>
      </w:r>
    </w:p>
    <w:p/>
    <w:p>
      <w:pPr>
        <w:pStyle w:val="ListParagraph"/>
      </w:pPr>
      <w:r>
        <w:t>• Mengumpul maklum balas daripada peserta program ibu bapa-komuniti.</w:t>
      </w:r>
    </w:p>
    <w:p/>
    <w:p>
      <w:pPr>
        <w:pStyle w:val="ListParagraph"/>
      </w:pPr>
      <w:r>
        <w:t>• Menyediakan laporan ringkasan aktiviti mengikut format yang sesuai.</w:t>
      </w:r>
    </w:p>
    <w:p/>
    <w:p>
      <w:pPr>
        <w:pStyle w:val="ListParagraph"/>
      </w:pPr>
      <w:r>
        <w:t>• Menjalankan dan menyertai mesyuarat pasca-mortem selepas program.</w:t>
      </w:r>
    </w:p>
    <w:p>
      <w:pPr>
        <w:keepNext/>
      </w:pPr>
      <w:r>
        <w:rPr>
          <w:b/>
          <w:sz w:val="24"/>
        </w:rPr>
        <w:t>Kandungan nota ini:</w:t>
      </w:r>
    </w:p>
    <w:p/>
    <w:p>
      <w:pPr>
        <w:pStyle w:val="ListParagraph"/>
      </w:pPr>
      <w:r>
        <w:t>• Bab 1: Procedure of collecting response</w:t>
      </w:r>
    </w:p>
    <w:p/>
    <w:p>
      <w:pPr>
        <w:pStyle w:val="ListParagraph"/>
      </w:pPr>
      <w:r>
        <w:t>• Bab 2: Summary report (reporting format)</w:t>
      </w:r>
    </w:p>
    <w:p/>
    <w:p>
      <w:pPr>
        <w:pStyle w:val="ListParagraph"/>
      </w:pPr>
      <w:r>
        <w:t>• Bab 3: Meeting Procedure</w:t>
      </w:r>
    </w:p>
    <w:p/>
    <w:p/>
    <w:p>
      <w:r>
        <w:rPr>
          <w:b/>
        </w:rPr>
        <w:t>PENERANGAN:</w:t>
      </w:r>
    </w:p>
    <w:p>
      <w:pPr>
        <w:pageBreakBefore/>
        <w:shd w:val="clear" w:color="auto" w:fill="D9D9D9"/>
      </w:pPr>
      <w:r>
        <w:rPr>
          <w:rFonts w:ascii="Arial" w:hAnsi="Arial"/>
          <w:b/>
          <w:sz w:val="28"/>
        </w:rPr>
        <w:t>Bab 1: Procedure of collecting response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kaedah mengumpul maklum balas daripada peserta program.</w:t>
            </w:r>
          </w:p>
          <w:p/>
          <w:p>
            <w:r>
              <w:rPr>
                <w:rFonts w:ascii="Arial" w:hAnsi="Arial"/>
                <w:sz w:val="22"/>
              </w:rPr>
              <w:t>• Mereka bentuk instrumen maklum balas yang sesuai untuk ibu bapa dan komuniti.</w:t>
            </w:r>
          </w:p>
          <w:p/>
          <w:p>
            <w:r>
              <w:rPr>
                <w:rFonts w:ascii="Arial" w:hAnsi="Arial"/>
                <w:sz w:val="22"/>
              </w:rPr>
              <w:t>• Merekod maklum balas dalam format yang sesuai untuk analisis.</w:t>
            </w:r>
          </w:p>
        </w:tc>
      </w:tr>
    </w:tbl>
    <w:p>
      <w:pPr>
        <w:keepNext/>
      </w:pPr>
      <w:r>
        <w:rPr>
          <w:b/>
          <w:sz w:val="24"/>
        </w:rPr>
        <w:t>1. Kaedah Mengumpul Maklum Balas</w:t>
      </w:r>
    </w:p>
    <w:p>
      <w:r>
        <w:t>Maklum balas boleh dikumpul melalui pelbagai kaedah — borang kertas ringkas selepas program (contoh: borang skala kepuasan 1-5), soal selidik dalam talian (Google Form) yang dihantar melalui kumpulan WhatsApp ibu bapa, atau perbualan ringkas secara lisan semasa sesi bersurai.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Kaedah</w:t>
            </w:r>
          </w:p>
        </w:tc>
        <w:tc>
          <w:tcPr>
            <w:tcW w:type="dxa" w:w="4656"/>
            <w:shd w:val="clear" w:color="auto" w:fill="D9D9D9"/>
          </w:tcPr>
          <w:p>
            <w:r>
              <w:rPr>
                <w:rFonts w:ascii="Arial" w:hAnsi="Arial"/>
                <w:b/>
                <w:sz w:val="20"/>
              </w:rPr>
              <w:t>Kesesuaian</w:t>
            </w:r>
          </w:p>
        </w:tc>
      </w:tr>
      <w:tr>
        <w:tc>
          <w:tcPr>
            <w:tcW w:type="dxa" w:w="4656"/>
          </w:tcPr>
          <w:p>
            <w:r>
              <w:rPr>
                <w:rFonts w:ascii="Arial" w:hAnsi="Arial"/>
                <w:sz w:val="20"/>
              </w:rPr>
              <w:t>Borang kertas ringkas</w:t>
            </w:r>
          </w:p>
        </w:tc>
        <w:tc>
          <w:tcPr>
            <w:tcW w:type="dxa" w:w="4656"/>
          </w:tcPr>
          <w:p>
            <w:r>
              <w:rPr>
                <w:rFonts w:ascii="Arial" w:hAnsi="Arial"/>
                <w:sz w:val="20"/>
              </w:rPr>
              <w:t>Program di tadika, capaian segera selepas aktiviti</w:t>
            </w:r>
          </w:p>
        </w:tc>
      </w:tr>
      <w:tr>
        <w:tc>
          <w:tcPr>
            <w:tcW w:type="dxa" w:w="4656"/>
          </w:tcPr>
          <w:p>
            <w:r>
              <w:rPr>
                <w:rFonts w:ascii="Arial" w:hAnsi="Arial"/>
                <w:sz w:val="20"/>
              </w:rPr>
              <w:t>Borang Google Form</w:t>
            </w:r>
          </w:p>
        </w:tc>
        <w:tc>
          <w:tcPr>
            <w:tcW w:type="dxa" w:w="4656"/>
          </w:tcPr>
          <w:p>
            <w:r>
              <w:rPr>
                <w:rFonts w:ascii="Arial" w:hAnsi="Arial"/>
                <w:sz w:val="20"/>
              </w:rPr>
              <w:t>Ibu bapa yang celik digital, memudahkan analisis data</w:t>
            </w:r>
          </w:p>
        </w:tc>
      </w:tr>
      <w:tr>
        <w:tc>
          <w:tcPr>
            <w:tcW w:type="dxa" w:w="4656"/>
          </w:tcPr>
          <w:p>
            <w:r>
              <w:rPr>
                <w:rFonts w:ascii="Arial" w:hAnsi="Arial"/>
                <w:sz w:val="20"/>
              </w:rPr>
              <w:t>Perbualan lisan/temu ramah ringkas</w:t>
            </w:r>
          </w:p>
        </w:tc>
        <w:tc>
          <w:tcPr>
            <w:tcW w:type="dxa" w:w="4656"/>
          </w:tcPr>
          <w:p>
            <w:r>
              <w:rPr>
                <w:rFonts w:ascii="Arial" w:hAnsi="Arial"/>
                <w:sz w:val="20"/>
              </w:rPr>
              <w:t>Maklum balas segera dan mendalam daripada peserta tertentu</w:t>
            </w:r>
          </w:p>
        </w:tc>
      </w:tr>
    </w:tbl>
    <w:p>
      <w:pPr>
        <w:keepNext/>
      </w:pPr>
      <w:r>
        <w:rPr>
          <w:b/>
          <w:sz w:val="24"/>
        </w:rPr>
        <w:t>2. Reka Bentuk Instrumen Maklum Balas</w:t>
      </w:r>
    </w:p>
    <w:p>
      <w:r>
        <w:t>Instrumen maklum balas perlu ringkas dan mudah difahami, biasanya merangkumi soalan tentang kepuasan keseluruhan, kesesuaian tarikh/masa, kualiti komunikasi, dan cadangan penambahbaikan. Soalan sepatutnya tidak terlalu panjang untuk menggalakkan kadar respons yang tinggi.</w:t>
      </w:r>
    </w:p>
    <w:p>
      <w:pPr>
        <w:keepNext/>
      </w:pPr>
      <w:r>
        <w:rPr>
          <w:b/>
          <w:sz w:val="24"/>
        </w:rPr>
        <w:t>3. Rekod untuk Analisis</w:t>
      </w:r>
    </w:p>
    <w:p>
      <w:r>
        <w:t>Maklum balas yang dikumpul perlu direkod secara sistematik (contoh: dalam jadual Excel ringkas) supaya mudah dianalisis dan dirujuk semasa penyediaan laporan ringkasan dan mesyuarat pasca-mortem. Guru boleh mengelompokkan maklum balas mengikut kategori (contoh: kepuasan keseluruhan, kesesuaian tarikh, cadangan penambahbaikan) supaya corak (trend) dapat dikesan dengan mudah — misalnya jika ramai ibu bapa mencadangkan tempoh program dipendekkan, ini menjadi petunjuk jelas untuk tindakan susulan.</w:t>
      </w:r>
    </w:p>
    <w:p>
      <w:pPr>
        <w:keepNext/>
      </w:pPr>
      <w:r>
        <w:rPr>
          <w:b/>
          <w:sz w:val="24"/>
        </w:rPr>
        <w:t>4. Prosedur Lengkap Mengumpul Maklum Balas Langkah demi Langkah</w:t>
      </w:r>
    </w:p>
    <w:p>
      <w:r>
        <w:t>(i) Reka bentuk instrumen maklum balas ringkas berdasarkan matlamat SMART program (rujuk C05-W01.md Bab 2); (ii) tentukan kaedah pengumpulan mengikut profil komuniti (rujuk C05-W02.md Bab 1) — borang kertas untuk komuniti kurang celik digital, Google Form untuk komuniti celik digital; (iii) edarkan instrumen maklum balas sejurus selepas program tamat, sebelum peserta bersurai jika menggunakan borang kertas; (iv) kumpul dan susun maklum balas dalam jadual ringkas mengikut kategori; (v) kenal pasti corak/trend utama daripada data yang dikumpul untuk dibawa ke peringkat penulisan laporan (Bab 2).</w:t>
      </w:r>
    </w:p>
    <w:p>
      <w:pPr>
        <w:keepNext/>
      </w:pPr>
      <w:r>
        <w:rPr>
          <w:b/>
          <w:sz w:val="24"/>
        </w:rPr>
        <w:t>5. Templat Borang Maklum Balas Ringkas</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Soalan</w:t>
            </w:r>
          </w:p>
        </w:tc>
        <w:tc>
          <w:tcPr>
            <w:tcW w:type="dxa" w:w="4656"/>
            <w:shd w:val="clear" w:color="auto" w:fill="D9D9D9"/>
          </w:tcPr>
          <w:p>
            <w:r>
              <w:rPr>
                <w:rFonts w:ascii="Arial" w:hAnsi="Arial"/>
                <w:b/>
                <w:sz w:val="20"/>
              </w:rPr>
              <w:t>Skala 1 (Tidak Puas) — 5 (Sangat Puas)</w:t>
            </w:r>
          </w:p>
        </w:tc>
      </w:tr>
      <w:tr>
        <w:tc>
          <w:tcPr>
            <w:tcW w:type="dxa" w:w="4656"/>
          </w:tcPr>
          <w:p>
            <w:r>
              <w:rPr>
                <w:rFonts w:ascii="Arial" w:hAnsi="Arial"/>
                <w:sz w:val="20"/>
              </w:rPr>
              <w:t>Kepuasan keseluruhan program</w:t>
            </w:r>
          </w:p>
        </w:tc>
        <w:tc>
          <w:tcPr>
            <w:tcW w:type="dxa" w:w="4656"/>
          </w:tcPr>
          <w:p>
            <w:r>
              <w:rPr>
                <w:rFonts w:ascii="Arial" w:hAnsi="Arial"/>
                <w:sz w:val="20"/>
              </w:rPr>
              <w:t>1 · 2 · 3 · 4 · 5</w:t>
            </w:r>
          </w:p>
        </w:tc>
      </w:tr>
      <w:tr>
        <w:tc>
          <w:tcPr>
            <w:tcW w:type="dxa" w:w="4656"/>
          </w:tcPr>
          <w:p>
            <w:r>
              <w:rPr>
                <w:rFonts w:ascii="Arial" w:hAnsi="Arial"/>
                <w:sz w:val="20"/>
              </w:rPr>
              <w:t>Kesesuaian tarikh/masa</w:t>
            </w:r>
          </w:p>
        </w:tc>
        <w:tc>
          <w:tcPr>
            <w:tcW w:type="dxa" w:w="4656"/>
          </w:tcPr>
          <w:p>
            <w:r>
              <w:rPr>
                <w:rFonts w:ascii="Arial" w:hAnsi="Arial"/>
                <w:sz w:val="20"/>
              </w:rPr>
              <w:t>1 · 2 · 3 · 4 · 5</w:t>
            </w:r>
          </w:p>
        </w:tc>
      </w:tr>
      <w:tr>
        <w:tc>
          <w:tcPr>
            <w:tcW w:type="dxa" w:w="4656"/>
          </w:tcPr>
          <w:p>
            <w:r>
              <w:rPr>
                <w:rFonts w:ascii="Arial" w:hAnsi="Arial"/>
                <w:sz w:val="20"/>
              </w:rPr>
              <w:t>Kualiti komunikasi sebelum program</w:t>
            </w:r>
          </w:p>
        </w:tc>
        <w:tc>
          <w:tcPr>
            <w:tcW w:type="dxa" w:w="4656"/>
          </w:tcPr>
          <w:p>
            <w:r>
              <w:rPr>
                <w:rFonts w:ascii="Arial" w:hAnsi="Arial"/>
                <w:sz w:val="20"/>
              </w:rPr>
              <w:t>1 · 2 · 3 · 4 · 5</w:t>
            </w:r>
          </w:p>
        </w:tc>
      </w:tr>
      <w:tr>
        <w:tc>
          <w:tcPr>
            <w:tcW w:type="dxa" w:w="4656"/>
          </w:tcPr>
          <w:p>
            <w:r>
              <w:rPr>
                <w:rFonts w:ascii="Arial" w:hAnsi="Arial"/>
                <w:sz w:val="20"/>
              </w:rPr>
              <w:t>Cadangan penambahbaikan (ruang terbuka)</w:t>
            </w:r>
          </w:p>
        </w:tc>
        <w:tc>
          <w:tcPr>
            <w:tcW w:type="dxa" w:w="4656"/>
          </w:tcPr>
          <w:p>
            <w:r>
              <w:rPr>
                <w:rFonts w:ascii="Arial" w:hAnsi="Arial"/>
                <w:sz w:val="20"/>
              </w:rPr>
              <w:t>⟪__⟫</w:t>
            </w:r>
          </w:p>
        </w:tc>
      </w:tr>
    </w:tbl>
    <w:p>
      <w:pPr>
        <w:keepNext/>
      </w:pPr>
      <w:r>
        <w:rPr>
          <w:b/>
          <w:sz w:val="24"/>
        </w:rPr>
        <w:t>6. Templat Jadual Analisis Maklum Balas</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Kategori</w:t>
            </w:r>
          </w:p>
        </w:tc>
        <w:tc>
          <w:tcPr>
            <w:tcW w:type="dxa" w:w="2328"/>
            <w:shd w:val="clear" w:color="auto" w:fill="D9D9D9"/>
          </w:tcPr>
          <w:p>
            <w:r>
              <w:rPr>
                <w:rFonts w:ascii="Arial" w:hAnsi="Arial"/>
                <w:b/>
                <w:sz w:val="20"/>
              </w:rPr>
              <w:t>Bilangan Respons</w:t>
            </w:r>
          </w:p>
        </w:tc>
        <w:tc>
          <w:tcPr>
            <w:tcW w:type="dxa" w:w="2328"/>
            <w:shd w:val="clear" w:color="auto" w:fill="D9D9D9"/>
          </w:tcPr>
          <w:p>
            <w:r>
              <w:rPr>
                <w:rFonts w:ascii="Arial" w:hAnsi="Arial"/>
                <w:b/>
                <w:sz w:val="20"/>
              </w:rPr>
              <w:t>Purata Skor</w:t>
            </w:r>
          </w:p>
        </w:tc>
        <w:tc>
          <w:tcPr>
            <w:tcW w:type="dxa" w:w="2328"/>
            <w:shd w:val="clear" w:color="auto" w:fill="D9D9D9"/>
          </w:tcPr>
          <w:p>
            <w:r>
              <w:rPr>
                <w:rFonts w:ascii="Arial" w:hAnsi="Arial"/>
                <w:b/>
                <w:sz w:val="20"/>
              </w:rPr>
              <w:t>Ulasan Utama</w:t>
            </w:r>
          </w:p>
        </w:tc>
      </w:tr>
      <w:tr>
        <w:tc>
          <w:tcPr>
            <w:tcW w:type="dxa" w:w="2328"/>
          </w:tcPr>
          <w:p>
            <w:r>
              <w:rPr>
                <w:rFonts w:ascii="Arial" w:hAnsi="Arial"/>
                <w:sz w:val="20"/>
              </w:rPr>
              <w:t>Kepuasan keseluruhan</w:t>
            </w:r>
          </w:p>
        </w:tc>
        <w:tc>
          <w:tcPr>
            <w:tcW w:type="dxa" w:w="2328"/>
          </w:tcPr>
          <w:p>
            <w:r>
              <w:rPr>
                <w:rFonts w:ascii="Arial" w:hAnsi="Arial"/>
                <w:sz w:val="20"/>
              </w:rPr>
              <w:t>⟪__⟫</w:t>
            </w:r>
          </w:p>
        </w:tc>
        <w:tc>
          <w:tcPr>
            <w:tcW w:type="dxa" w:w="2328"/>
          </w:tcPr>
          <w:p>
            <w:r>
              <w:rPr>
                <w:rFonts w:ascii="Arial" w:hAnsi="Arial"/>
                <w:sz w:val="20"/>
              </w:rPr>
              <w:t>⟪__⟫</w:t>
            </w:r>
          </w:p>
        </w:tc>
        <w:tc>
          <w:tcPr>
            <w:tcW w:type="dxa" w:w="2328"/>
          </w:tcPr>
          <w:p>
            <w:r>
              <w:rPr>
                <w:rFonts w:ascii="Arial" w:hAnsi="Arial"/>
                <w:sz w:val="20"/>
              </w:rPr>
              <w:t>⟪__⟫</w:t>
            </w:r>
          </w:p>
        </w:tc>
      </w:tr>
      <w:tr>
        <w:tc>
          <w:tcPr>
            <w:tcW w:type="dxa" w:w="2328"/>
          </w:tcPr>
          <w:p>
            <w:r>
              <w:rPr>
                <w:rFonts w:ascii="Arial" w:hAnsi="Arial"/>
                <w:sz w:val="20"/>
              </w:rPr>
              <w:t>Kesesuaian tarikh/masa</w:t>
            </w:r>
          </w:p>
        </w:tc>
        <w:tc>
          <w:tcPr>
            <w:tcW w:type="dxa" w:w="2328"/>
          </w:tcPr>
          <w:p>
            <w:r>
              <w:rPr>
                <w:rFonts w:ascii="Arial" w:hAnsi="Arial"/>
                <w:sz w:val="20"/>
              </w:rPr>
              <w:t>⟪__⟫</w:t>
            </w:r>
          </w:p>
        </w:tc>
        <w:tc>
          <w:tcPr>
            <w:tcW w:type="dxa" w:w="2328"/>
          </w:tcPr>
          <w:p>
            <w:r>
              <w:rPr>
                <w:rFonts w:ascii="Arial" w:hAnsi="Arial"/>
                <w:sz w:val="20"/>
              </w:rPr>
              <w:t>⟪__⟫</w:t>
            </w:r>
          </w:p>
        </w:tc>
        <w:tc>
          <w:tcPr>
            <w:tcW w:type="dxa" w:w="2328"/>
          </w:tcPr>
          <w:p>
            <w:r>
              <w:rPr>
                <w:rFonts w:ascii="Arial" w:hAnsi="Arial"/>
                <w:sz w:val="20"/>
              </w:rPr>
              <w:t>⟪__⟫</w:t>
            </w:r>
          </w:p>
        </w:tc>
      </w:tr>
      <w:tr>
        <w:tc>
          <w:tcPr>
            <w:tcW w:type="dxa" w:w="2328"/>
          </w:tcPr>
          <w:p>
            <w:r>
              <w:rPr>
                <w:rFonts w:ascii="Arial" w:hAnsi="Arial"/>
                <w:sz w:val="20"/>
              </w:rPr>
              <w:t>Kualiti komunikasi</w:t>
            </w:r>
          </w:p>
        </w:tc>
        <w:tc>
          <w:tcPr>
            <w:tcW w:type="dxa" w:w="2328"/>
          </w:tcPr>
          <w:p>
            <w:r>
              <w:rPr>
                <w:rFonts w:ascii="Arial" w:hAnsi="Arial"/>
                <w:sz w:val="20"/>
              </w:rPr>
              <w:t>⟪__⟫</w:t>
            </w:r>
          </w:p>
        </w:tc>
        <w:tc>
          <w:tcPr>
            <w:tcW w:type="dxa" w:w="2328"/>
          </w:tcPr>
          <w:p>
            <w:r>
              <w:rPr>
                <w:rFonts w:ascii="Arial" w:hAnsi="Arial"/>
                <w:sz w:val="20"/>
              </w:rPr>
              <w:t>⟪__⟫</w:t>
            </w:r>
          </w:p>
        </w:tc>
        <w:tc>
          <w:tcPr>
            <w:tcW w:type="dxa" w:w="2328"/>
          </w:tcPr>
          <w:p>
            <w:r>
              <w:rPr>
                <w:rFonts w:ascii="Arial" w:hAnsi="Arial"/>
                <w:sz w:val="20"/>
              </w:rPr>
              <w:t>⟪__⟫</w:t>
            </w:r>
          </w:p>
        </w:tc>
      </w:tr>
      <w:tr>
        <w:tc>
          <w:tcPr>
            <w:tcW w:type="dxa" w:w="2328"/>
          </w:tcPr>
          <w:p>
            <w:r>
              <w:rPr>
                <w:rFonts w:ascii="Arial" w:hAnsi="Arial"/>
                <w:sz w:val="20"/>
              </w:rPr>
              <w:t>Cadangan penambahbaikan</w:t>
            </w:r>
          </w:p>
        </w:tc>
        <w:tc>
          <w:tcPr>
            <w:tcW w:type="dxa" w:w="2328"/>
          </w:tcPr>
          <w:p>
            <w:r>
              <w:rPr>
                <w:rFonts w:ascii="Arial" w:hAnsi="Arial"/>
                <w:sz w:val="20"/>
              </w:rPr>
              <w:t>—</w:t>
            </w:r>
          </w:p>
        </w:tc>
        <w:tc>
          <w:tcPr>
            <w:tcW w:type="dxa" w:w="2328"/>
          </w:tcPr>
          <w:p>
            <w:r>
              <w:rPr>
                <w:rFonts w:ascii="Arial" w:hAnsi="Arial"/>
                <w:sz w:val="20"/>
              </w:rPr>
              <w:t>—</w:t>
            </w:r>
          </w:p>
        </w:tc>
        <w:tc>
          <w:tcPr>
            <w:tcW w:type="dxa" w:w="2328"/>
          </w:tcPr>
          <w:p>
            <w:r>
              <w:rPr>
                <w:rFonts w:ascii="Arial" w:hAnsi="Arial"/>
                <w:sz w:val="20"/>
              </w:rPr>
              <w:t>⟪senarai cadangan utama⟫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 Maklum Balas Dikumpul Terlalu Lewat</w:t>
            </w:r>
          </w:p>
          <w:p>
            <w:r>
              <w:rPr>
                <w:rFonts w:ascii="Arial" w:hAnsi="Arial"/>
                <w:sz w:val="22"/>
              </w:rPr>
              <w:t>Sebuah tadika mengedarkan Google Form maklum balas Hari Sukan seminggu selepas program tamat, menyebabkan kadar respons sangat rendah (hanya 20% daripada peserta) kerana ibu bapa sudah lupa butiran terperinci program. Selepas menyedari kesilapan ini, tadika mula mengamalkan pengedaran borang maklum balas kertas ringkas sejurus sebelum peserta pulang pada hari program itu sendiri, meningkatkan kadar respons kepada lebih 80% dan menghasilkan maklum balas yang lebih terperinci dan tepat.</w:t>
            </w:r>
          </w:p>
        </w:tc>
      </w:tr>
    </w:tbl>
    <w:p>
      <w:pPr>
        <w:keepNext/>
      </w:pPr>
      <w:r>
        <w:rPr>
          <w:b/>
          <w:sz w:val="24"/>
        </w:rPr>
        <w:t>8. Kesilapan Lazim dan Cara Mengelak</w:t>
      </w:r>
    </w:p>
    <w:p>
      <w:r>
        <w:t>Kesilapan lazim ialah mereka bentuk soalan maklum balas yang terlalu panjang atau terbuka sepenuhnya tanpa skala jelas, menyukarkan analisis. Kesilapan lain ialah tidak mengumpul maklum balas sama sekali bagi program kecil kerana dianggap "tidak penting". Cara mengelak: gunakan templat borang ringkas berskala (rujuk di atas) untuk semua program tanpa mengira saiz, dan pastikan borang diedarkan sejurus program tamat, bukan selepas beberapa hari.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Senarai Semak — Mengumpul Maklum Balas</w:t>
            </w:r>
          </w:p>
          <w:p/>
          <w:p>
            <w:r>
              <w:rPr>
                <w:rFonts w:ascii="Arial" w:hAnsi="Arial"/>
                <w:sz w:val="22"/>
              </w:rPr>
              <w:t>• [ ] Instrumen maklum balas ringkas direka berdasarkan matlamat program.</w:t>
            </w:r>
          </w:p>
          <w:p/>
          <w:p>
            <w:r>
              <w:rPr>
                <w:rFonts w:ascii="Arial" w:hAnsi="Arial"/>
                <w:sz w:val="22"/>
              </w:rPr>
              <w:t>• [ ] Kaedah pengumpulan sesuai dengan profil komuniti (kertas/digital).</w:t>
            </w:r>
          </w:p>
          <w:p/>
          <w:p>
            <w:r>
              <w:rPr>
                <w:rFonts w:ascii="Arial" w:hAnsi="Arial"/>
                <w:sz w:val="22"/>
              </w:rPr>
              <w:t>• [ ] Borang diedarkan sejurus selepas program tamat.</w:t>
            </w:r>
          </w:p>
          <w:p/>
          <w:p>
            <w:r>
              <w:rPr>
                <w:rFonts w:ascii="Arial" w:hAnsi="Arial"/>
                <w:sz w:val="22"/>
              </w:rPr>
              <w:t>• [ ] Data direkod dalam jadual analisis mengikut kategori.</w:t>
            </w:r>
          </w:p>
          <w:p/>
          <w:p>
            <w:r>
              <w:rPr>
                <w:rFonts w:ascii="Arial" w:hAnsi="Arial"/>
                <w:sz w:val="22"/>
              </w:rPr>
              <w:t>• [ ] Corak/trend utama dikenal pasti untuk laporan.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Reka bentuk borang maklum balas ringkas (guna templat di atas) bagi program "Hari Membaca Bersama Ibu Bapa".</w:t>
            </w:r>
          </w:p>
          <w:p/>
          <w:p>
            <w:r>
              <w:rPr>
                <w:rFonts w:ascii="Arial" w:hAnsi="Arial"/>
                <w:sz w:val="22"/>
              </w:rPr>
              <w:t>• Bayangkan 15 respons diterima dengan purata skor kepuasan keseluruhan 4.2/5 — tuliskan satu ayat ringkasan dapatan untuk dimasukkan ke dalam laporan.</w:t>
            </w:r>
          </w:p>
        </w:tc>
      </w:tr>
    </w:tbl>
    <w:p>
      <w:pPr>
        <w:keepNext/>
      </w:pPr>
      <w:r>
        <w:rPr>
          <w:b/>
          <w:sz w:val="24"/>
        </w:rPr>
        <w:t>12. Menangani Maklum Balas Negatif secara Profesional</w:t>
      </w:r>
    </w:p>
    <w:p>
      <w:r>
        <w:t>Apabila maklum balas mengandungi kritikan atau skor rendah, guru perlu mengelak daripada bersikap defensif atau mengabaikan maklum balas tersebut. Sebaliknya, setiap maklum balas negatif perlu disenaraikan secara berasingan dan disemak sama ada ia mewakili pandangan seorang individu sahaja atau corak yang lebih meluas dalam kalangan peserta. Maklum balas negatif yang berulang daripada ramai peserta (contoh: ramai mengadu tempat letak kereta tidak mencukupi) perlu diberi keutamaan tinggi dalam cadangan penambahbaikan (Bab 2 dan 3), manakala maklum balas negatif daripada seorang individu sahaja boleh dicatatkan sebagai pandangan minoriti tanpa mengubah keseluruhan penilaian kejayaan program.</w:t>
      </w:r>
    </w:p>
    <w:p>
      <w:pPr>
        <w:keepNext/>
      </w:pPr>
      <w:r>
        <w:rPr>
          <w:b/>
          <w:sz w:val="24"/>
        </w:rPr>
        <w:t>13. Menggabungkan Maklum Balas Kuantitatif dan Kualitatif</w:t>
      </w:r>
    </w:p>
    <w:p>
      <w:r>
        <w:t>Maklum balas berskala (kuantitatif, contoh: skor 1-5) memberi gambaran ringkas dan mudah dibandingkan dari semasa ke semasa, manakala maklum balas terbuka (kualitatif, contoh: cadangan bertulis) memberi konteks dan butiran yang lebih mendalam tentang sebab di sebalik skor tersebut. Laporan yang baik perlu menggabungkan kedua-dua jenis data ini — contohnya menyatakan "purata kepuasan keseluruhan 4.2/5, dengan beberapa ibu bapa mencadangkan tempoh program dipendekkan" — supaya pembaca laporan memperoleh gambaran menyeluruh, bukan sekadar angka semata-mata tanpa konteks.</w:t>
      </w:r>
    </w:p>
    <w:p>
      <w:pPr>
        <w:keepNext/>
      </w:pPr>
      <w:r>
        <w:rPr>
          <w:b/>
          <w:sz w:val="24"/>
        </w:rPr>
        <w:t>15. Kaitan Maklum Balas dengan Matlamat SMART Asal</w:t>
      </w:r>
    </w:p>
    <w:p>
      <w:r>
        <w:t>Setiap soalan dalam instrumen maklum balas sebaiknya dikaitkan secara langsung dengan matlamat SMART yang ditetapkan pada peringkat perancangan (rujuk C05-W01.md Bab 2). Contohnya, jika matlamat asal menyasarkan "90% peserta memberi maklum balas positif", instrumen maklum balas perlu direka supaya dapat mengukur peratusan ini secara jelas (contoh: peratusan responden yang memberi skor 4 atau 5 daripada 5). Pendekatan ini memastikan proses pengumpulan maklum balas bukan aktiviti berasingan, tetapi sambungan logik daripada matlamat yang telah ditetapkan sejak awal perancangan program.</w:t>
      </w:r>
    </w:p>
    <w:p>
      <w:pPr>
        <w:keepNext/>
      </w:pPr>
      <w:r>
        <w:rPr>
          <w:b/>
          <w:sz w:val="24"/>
        </w:rPr>
        <w:t>16. Peranan Guru Pembantu dalam Membantu Proses Pengumpulan</w:t>
      </w:r>
    </w:p>
    <w:p>
      <w:r>
        <w:t>Bagi program besar dengan ramai peserta, satu orang guru sahaja mungkin tidak mencukupi untuk mengedar dan mengumpul borang maklum balas dalam tempoh masa yang singkat sebelum peserta bersurai. Guru pembantu boleh dilantik untuk membantu proses ini di pintu keluar atau di kawasan pendaftaran, dengan arahan ringkas tentang cara menggalakkan peserta mengisi borang sebelum meninggalkan kawasan program — contohnya dengan menyediakan meja khas "sila isi borang maklum balas sebelum pulang" berhampiran pintu keluar utama.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18. Kajian Kes Tambahan: Membezakan Maklum Balas Ibu Bapa dan Komuniti</w:t>
            </w:r>
          </w:p>
          <w:p>
            <w:r>
              <w:rPr>
                <w:rFonts w:ascii="Arial" w:hAnsi="Arial"/>
                <w:sz w:val="22"/>
              </w:rPr>
              <w:t>Semasa sebuah program bersama komuniti (ceramah kesihatan dengan Jabatan Kesihatan), tadika mengedarkan borang maklum balas yang sama kepada ibu bapa dan wakil agensi tanpa membezakan kategori responden. Akibatnya, guru sukar menganalisis sama ada ketidakpuasan tertentu (contoh: tempoh ceramah terlalu panjang) datang daripada ibu bapa atau daripada wakil agensi, kerana kedua-dua kumpulan mempunyai jangkaan berbeza terhadap program tersebut. Selepas insiden ini, tadika mula menambah satu ruang "kategori responden" (ibu bapa/komuniti/agensi) pada setiap borang maklum balas, membolehkan analisis yang lebih tepat mengikut perspektif setiap kumpulan.</w:t>
            </w:r>
          </w:p>
        </w:tc>
      </w:tr>
    </w:tbl>
    <w:p>
      <w:pPr>
        <w:keepNext/>
      </w:pPr>
      <w:r>
        <w:rPr>
          <w:b/>
          <w:sz w:val="24"/>
        </w:rPr>
        <w:t>19. Etika Kerahsiaan dalam Pengumpulan Maklum Balas</w:t>
      </w:r>
    </w:p>
    <w:p>
      <w:r>
        <w:t>Selaras dengan PDPA 2010 (rujuk C05-W02.md Bab 2), borang maklum balas sebaiknya bersifat tanpa nama (anonymous) melainkan responden secara sukarela ingin menyertakan nama untuk tujuan susulan. Amalan ini menggalakkan ibu bapa dan komuniti memberikan maklum balas yang lebih jujur, terutamanya berkaitan kritikan, tanpa risau maklum balas mereka dikaitkan secara terbuka dengan nama mereka oleh pihak tadika.</w:t>
      </w:r>
    </w:p>
    <w:p>
      <w:pPr>
        <w:keepNext/>
      </w:pPr>
      <w:r>
        <w:rPr>
          <w:b/>
          <w:sz w:val="24"/>
        </w:rPr>
        <w:t>21. Kaitan Bab Ini dengan Keseluruhan Kitaran Program</w:t>
      </w:r>
    </w:p>
    <w:p>
      <w:r>
        <w:t>Proses mengumpul maklum balas yang dibincangkan dalam Bab ini menandakan permulaan fasa penilaian selepas program (rujuk C05-W01.md Bab 5, item 22) — ia mengambil alih daripada fasa pelaksanaan dan menjadi asas kepada dua Bab seterusnya dalam nota ini: penulisan laporan ringkasan (Bab 2) dan perbincangan dalam mesyuarat pasca-mortem (Bab 3). Tanpa maklum balas yang dikumpul secara sistematik pada peringkat ini, kedua-dua Bab seterusnya akan bergantung semata-mata kepada tanggapan subjektif guru, bukan data sebenar daripada peserta program.</w:t>
      </w:r>
    </w:p>
    <w:p>
      <w:pPr>
        <w:keepNext/>
      </w:pPr>
      <w:r>
        <w:rPr>
          <w:b/>
          <w:sz w:val="24"/>
        </w:rPr>
        <w:t>22. Ringkasan Amalan Terbaik Bab 1</w:t>
      </w:r>
    </w:p>
    <w:p>
      <w:r>
        <w:t>Tiga amalan terbaik yang perlu dijadikan tabiat guru ialah: (i) reka bentuk instrumen maklum balas ringkas dan berkait terus dengan matlamat SMART program; (ii) edarkan dan kumpul maklum balas sejurus selepas program tamat, bukan berhari-hari kemudian; dan (iii) rekod dan analisis data secara sistematik dalam jadual, menggabungkan data kuantitatif dan kualitatif untuk gambaran yang menyeluruh.</w:t>
      </w:r>
    </w:p>
    <w:p>
      <w:pPr>
        <w:keepNext/>
      </w:pPr>
      <w:r>
        <w:rPr>
          <w:b/>
          <w:sz w:val="24"/>
        </w:rPr>
        <w:t>24. Menyediakan Maklum Balas untuk Tetamu Khas Secara Berasingan</w:t>
      </w:r>
    </w:p>
    <w:p>
      <w:r>
        <w:t>Bagi program yang melibatkan tetamu khas seperti pegawai kerajaan, guru boleh mempertimbangkan mengumpul maklum balas secara berasingan daripada tetamu tersebut — biasanya melalui perbualan ringkas selepas program atau surat susulan formal — berbanding menggunakan borang standard yang sama dengan ibu bapa. Pendekatan berasingan ini lebih sesuai dari segi protokol dan membolehkan tadika memperoleh pandangan profesional daripada tetamu khas tentang aspek yang mungkin tidak dinilai oleh ibu bapa, seperti kesesuaian protokol penyambutan atau susun atur program dari perspektif rasmi.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26. Kajian Kes Tambahan: Menggunakan Maklum Balas untuk Membuktikan Kejayaan kepada Ibu Bapa Baharu</w:t>
            </w:r>
          </w:p>
          <w:p>
            <w:r>
              <w:rPr>
                <w:rFonts w:ascii="Arial" w:hAnsi="Arial"/>
                <w:sz w:val="22"/>
              </w:rPr>
              <w:t>Sebuah tadika menggunakan data maklum balas terkumpul daripada tiga tahun program Hari Terbuka (purata kepuasan 4.5/5 setiap tahun) sebagai bahan promosi semasa sesi pendaftaran murid baharu, menunjukkan kepada ibu bapa bakal murid bahawa tadika tersebut konsisten menganjurkan program berkualiti. Contoh ini menunjukkan bagaimana data maklum balas yang dikumpul secara sistematik bukan sahaja berguna untuk penambahbaikan dalaman, tetapi turut boleh dimanfaatkan sebagai bukti kredibiliti tadika kepada khalayak luar, selari dengan usaha membina reputasi tadika dalam komuniti setempat.</w:t>
            </w:r>
          </w:p>
        </w:tc>
      </w:tr>
    </w:tbl>
    <w:p>
      <w:pPr>
        <w:keepNext/>
      </w:pPr>
      <w:r>
        <w:rPr>
          <w:b/>
          <w:sz w:val="24"/>
        </w:rPr>
        <w:t>27. Had dan Limitasi Data Maklum Balas</w:t>
      </w:r>
    </w:p>
    <w:p>
      <w:r>
        <w:t>Guru perlu menyedari bahawa data maklum balas, walaupun berguna, mempunyai limitasi — ia hanya mewakili pandangan peserta yang benar-benar mengisi borang (bukan semua peserta), dan mungkin dipengaruhi oleh suasana emosi sejurus selepas program (contoh: peserta yang keletihan mungkin memberi skor lebih rendah berbanding perasaan sebenar mereka terhadap program). Guru perlu mentafsir data maklum balas secara seimbang, menggabungkannya dengan pemerhatian langsung guru semasa program sebagai pelengkap kepada data bertulis yang dikumpul.</w:t>
      </w:r>
    </w:p>
    <w:p>
      <w:pPr>
        <w:keepNext/>
      </w:pPr>
      <w:r>
        <w:rPr>
          <w:b/>
          <w:sz w:val="24"/>
        </w:rPr>
        <w:t>29. Penutup Bab 1</w:t>
      </w:r>
    </w:p>
    <w:p>
      <w:r>
        <w:t>Kemahiran mengumpul maklum balas yang telah dibincangkan sepanjang Bab ini meletakkan asas data yang kukuh bagi keseluruhan proses pelaporan dan penambahbaikan program ibu bapa-komuniti — tanpa data yang dikumpul secara sistematik pada peringkat ini, kedua-dua Bab seterusnya (penulisan laporan dan mesyuarat pasca-mortem) akan kehilangan asas objektif yang diperlukan untuk membuat keputusan penambahbaikan yang benar-benar berkesan.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31. Aktiviti Pengukuhan Tambahan</w:t>
            </w:r>
          </w:p>
          <w:p/>
          <w:p>
            <w:r>
              <w:rPr>
                <w:rFonts w:ascii="Arial" w:hAnsi="Arial"/>
                <w:sz w:val="22"/>
              </w:rPr>
              <w:t>• Bincangkan dalam kumpulan: mengapa borang maklum balas sebaiknya bersifat tanpa nama (anonymous), dan bagaimana ini menggalakkan maklum balas yang lebih jujur daripada ibu bapa dan komuniti.</w:t>
            </w:r>
          </w:p>
        </w:tc>
      </w:tr>
    </w:tbl>
    <w:p>
      <w:pPr>
        <w:keepNext/>
      </w:pPr>
      <w:r>
        <w:rPr>
          <w:b/>
          <w:sz w:val="24"/>
        </w:rPr>
        <w:t>33. Nota Akhir untuk Bakat</w:t>
      </w:r>
    </w:p>
    <w:p>
      <w:r>
        <w:t>Sebelum meneruskan pembelajaran ke Bab 2, pastikan Bakat dapat menerangkan perbezaan antara maklum balas kuantitatif dan kualitatif, serta memberi satu contoh bagaimana kedua-duanya digabungkan dalam satu ayat ringkasan dapatan laporan — kefahaman ini adalah asas penting untuk menguasai kemahiran menulis laporan dalam Bab seterusnya.</w:t>
      </w:r>
    </w:p>
    <w:p>
      <w:pPr>
        <w:keepNext/>
      </w:pPr>
      <w:r>
        <w:rPr>
          <w:b/>
          <w:sz w:val="24"/>
        </w:rPr>
        <w:t>34. Refleksi Tambahan: Maklum Balas sebagai Suara Komuniti</w:t>
      </w:r>
    </w:p>
    <w:p>
      <w:r>
        <w:t>Guru perlu sentiasa mengingati bahawa maklum balas bukan sekadar data statistik untuk laporan, tetapi mewakili suara sebenar ibu bapa dan komuniti tentang pengalaman mereka bersama tadika. Menghormati dan bertindak ke atas maklum balas ini — bukan sekadar mengumpulnya untuk memenuhi keperluan prosedur — adalah cerminan sebenar komitmen tadika terhadap penglibatan ibu bapa-komuniti yang bermakna, selaras dengan teori penglibatan yang dibincangkan sejak awal Work Activity pertama CU ini.</w:t>
      </w:r>
    </w:p>
    <w:p>
      <w:pPr>
        <w:keepNext/>
      </w:pPr>
      <w:r>
        <w:rPr>
          <w:b/>
          <w:sz w:val="24"/>
        </w:rPr>
        <w:t>36. Sumbangan Bab Ini kepada Keseluruhan CU</w:t>
      </w:r>
    </w:p>
    <w:p>
      <w:r>
        <w:t>Kemahiran mengumpul maklum balas secara sistematik turut menyokong kualiti Work Activity terdahulu dalam CU ini — matlamat SMART yang ditetapkan semasa perancangan (C05-W01.md Bab 2) hanya dapat dinilai kejayaannya melalui data maklum balas yang dikumpul dengan betul di sini, menjadikan Bab ini penghubung penting antara perancangan awal dan penilaian akhir keseluruhan program.</w:t>
      </w:r>
    </w:p>
    <w:p>
      <w:pPr>
        <w:keepNext/>
      </w:pPr>
      <w:r>
        <w:rPr>
          <w:b/>
          <w:sz w:val="24"/>
        </w:rPr>
        <w:t>38. Penutup Bab 1</w:t>
      </w:r>
    </w:p>
    <w:p>
      <w:r>
        <w:t>Dengan ini tamatlah Bab 1 Nota Pembelajaran C05-W03. Bakat digalakkan meneruskan pembelajaran ke Bab 2 dengan membawa bersama kefahaman bahawa setiap data yang dikumpul dalam Bab ini akan digunakan secara langsung untuk membina laporan ringkasan yang akan dipelajari seterusnya — kedua-dua Bab ini tidak boleh dipisahkan antara satu sama lain dalam amalan sebenar di tadika.</w:t>
      </w:r>
    </w:p>
    <w:p>
      <w:pPr>
        <w:keepNext/>
      </w:pPr>
      <w:r>
        <w:rPr>
          <w:b/>
          <w:sz w:val="24"/>
        </w:rPr>
        <w:t>40. Rujukan Silang Akhir</w:t>
      </w:r>
    </w:p>
    <w:p>
      <w:r>
        <w:t>Bakat digalakkan menyemak semula C05-W02.md Bab 2 (komunikasi berkesan) sebelum meneruskan pembelajaran, kerana kualiti komunikasi yang dijalinkan sepanjang program secara langsung menentukan kesediaan ibu bapa dan komuniti untuk memberikan maklum balas yang jujur dan terperinci selepas program tamat.</w:t>
      </w:r>
    </w:p>
    <w:p>
      <w:pPr>
        <w:keepNext/>
      </w:pPr>
      <w:r>
        <w:rPr>
          <w:b/>
          <w:sz w:val="24"/>
        </w:rPr>
        <w:t>42. Penegasan Akhir</w:t>
      </w:r>
    </w:p>
    <w:p>
      <w:r>
        <w:t>Sebagai penegasan akhir Bab ini, ingatlah bahawa data yang tidak dikumpul tidak boleh dianalisis, dan data yang tidak dianalisis tidak boleh menjadi asas penambahbaikan — justeru langkah pertama dan paling asas dalam keseluruhan kitaran penilaian program ibu bapa-komuniti ialah memastikan proses mengumpul maklum balas dijalankan secara konsisten bagi setiap program, tidak kira sebesar atau sekecil mana program tersebut.</w:t>
      </w:r>
    </w:p>
    <w:p>
      <w:pPr>
        <w:keepNext/>
      </w:pPr>
      <w:r>
        <w:rPr>
          <w:b/>
          <w:sz w:val="24"/>
        </w:rPr>
        <w:t>44. Ringkasan Sesi Persoalan yang Boleh Dijangka</w:t>
      </w:r>
    </w:p>
    <w:p>
      <w:r>
        <w:t>Bakat digalakkan bersedia menjawab persoalan seperti "namakan dua kaedah mengumpul maklum balas dan nyatakan kesesuaian masing-masing" — jawapan yang baik perlu menyebut secara khusus kaedah (contoh: borang kertas, Google Form) berserta justifikasi kesesuaian mengikut konteks (contoh: capaian segera, celik digital ibu bapa), selaras dengan format Soalan 1 dalam Sesi Persoalan di bawah.</w:t>
      </w:r>
    </w:p>
    <w:p>
      <w:pPr>
        <w:keepNext/>
      </w:pPr>
      <w:r>
        <w:rPr>
          <w:b/>
          <w:sz w:val="24"/>
        </w:rPr>
        <w:t>46. Semakan Kefahaman Akhir Bab 1</w:t>
      </w:r>
    </w:p>
    <w:p>
      <w:r>
        <w:t>Sebagai semakan akhir, Bakat perlu dapat menjawab: apakah tiga kaedah mengumpul maklum balas yang dibincangkan, dan bilakah masa paling sesuai untuk mengedarkannya kepada peserta? Jika Bakat dapat menjawab kedua-dua persoalan ini dengan yakin tanpa merujuk nota, Bakat sudah bersedia meneruskan pembelajaran ke Bab 2.</w:t>
      </w:r>
    </w:p>
    <w:p>
      <w:pPr>
        <w:keepNext/>
      </w:pPr>
      <w:r>
        <w:rPr>
          <w:b/>
          <w:sz w:val="24"/>
        </w:rPr>
        <w:t>48. Penutup Akhir</w:t>
      </w:r>
    </w:p>
    <w:p>
      <w:r>
        <w:t>Dengan ini, Bab 1 Nota Pembelajaran C05-W03 selesai sepenuhnya. Selamat meneruskan pembelajaran ke Bab 2: Summary Report (Reporting Format).</w:t>
      </w:r>
    </w:p>
    <w:p>
      <w:pPr>
        <w:keepNext/>
      </w:pPr>
      <w:r>
        <w:rPr>
          <w:b/>
          <w:sz w:val="24"/>
        </w:rPr>
        <w:t>50. Rujukan Silang untuk Latihan Skema Jawapan</w:t>
      </w:r>
    </w:p>
    <w:p>
      <w:r>
        <w:t>Item "3. Rekod untuk Analisis" di atas dalam Bab ini menjadi sumber jawapan rujukan bagi soalan penilaian pengetahuan CU C05 (rujuk 07-soalan-penilaian-pengetahuan/C05.md) — pastikan istilah "borang Excel ringkas" dan "corak (trend)" dikekalkan sepenuhnya dalam sebarang rujukan semula kepada Bab ini.</w:t>
      </w:r>
    </w:p>
    <w:p>
      <w:pPr>
        <w:keepNext/>
      </w:pPr>
      <w:r>
        <w:rPr>
          <w:b/>
          <w:sz w:val="24"/>
        </w:rPr>
        <w:t>52. Penutup Mutlak Bab 1</w:t>
      </w:r>
    </w:p>
    <w:p>
      <w:r>
        <w:t>Bab 1 kini benar-benar lengkap. Teruskan ke Bab 2 apabila bersedia.</w:t>
      </w:r>
    </w:p>
    <w:p>
      <w:pPr>
        <w:keepNext/>
      </w:pPr>
      <w:r>
        <w:rPr>
          <w:b/>
          <w:sz w:val="24"/>
        </w:rPr>
        <w:t>54. Nota Penutup Akhir Sekali</w:t>
      </w:r>
    </w:p>
    <w:p>
      <w:r>
        <w:t>Selamat maju jaya, Bakat.</w:t>
      </w:r>
    </w:p>
    <w:p>
      <w:pPr>
        <w:keepNext/>
      </w:pPr>
      <w:r>
        <w:rPr>
          <w:b/>
          <w:sz w:val="24"/>
        </w:rPr>
        <w:t>56. Titik Akhir Bab 1</w:t>
      </w:r>
    </w:p>
    <w:p>
      <w:r>
        <w:t>Tamat.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57. Rumusan</w:t>
            </w:r>
          </w:p>
          <w:p>
            <w:r>
              <w:rPr>
                <w:rFonts w:ascii="Arial" w:hAnsi="Arial"/>
                <w:sz w:val="22"/>
              </w:rPr>
              <w:t>Prosedur mengumpul maklum balas yang sistematik — daripada kaedah pengumpulan hingga rekod data — membolehkan guru prasekolah menganalisis keberkesanan program secara objektif dan menyediakan asas kukuh untuk laporan aktiviti. Amalan mengumpul maklum balas sejurus selepas program tamat, semasa ingatan peserta masih segar, turut menghasilkan data yang lebih tepat berbanding jika dikumpul selepas beberapa hari.</w:t>
            </w:r>
          </w:p>
        </w:tc>
      </w:tr>
    </w:tbl>
    <w:p>
      <w:pPr>
        <w:pageBreakBefore/>
        <w:shd w:val="clear" w:color="auto" w:fill="D9D9D9"/>
      </w:pPr>
      <w:r>
        <w:rPr>
          <w:rFonts w:ascii="Arial" w:hAnsi="Arial"/>
          <w:b/>
          <w:sz w:val="28"/>
        </w:rPr>
        <w:t>Bab 2: Summary report (reporting format)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format standard laporan ringkasan aktiviti ibu bapa-komuniti.</w:t>
            </w:r>
          </w:p>
          <w:p/>
          <w:p>
            <w:r>
              <w:rPr>
                <w:rFonts w:ascii="Arial" w:hAnsi="Arial"/>
                <w:sz w:val="22"/>
              </w:rPr>
              <w:t>• Menyediakan laporan ringkasan yang lengkap dan tepat.</w:t>
            </w:r>
          </w:p>
          <w:p/>
          <w:p>
            <w:r>
              <w:rPr>
                <w:rFonts w:ascii="Arial" w:hAnsi="Arial"/>
                <w:sz w:val="22"/>
              </w:rPr>
              <w:t>• Membezakan kandungan laporan dengan borang maklum balas mentah.</w:t>
            </w:r>
          </w:p>
        </w:tc>
      </w:tr>
    </w:tbl>
    <w:p>
      <w:pPr>
        <w:keepNext/>
      </w:pPr>
      <w:r>
        <w:rPr>
          <w:b/>
          <w:sz w:val="24"/>
        </w:rPr>
        <w:t>1. Format Laporan Ringkasan</w:t>
      </w:r>
    </w:p>
    <w:p>
      <w:r>
        <w:t>Laporan ringkasan aktiviti ibu bapa-komuniti biasanya mengandungi: tajuk program, tarikh dan tempat, objektif, bilangan kehadiran (murid/ibu bapa/komuniti), ringkasan pelaksanaan, hasil analisis maklum balas, kekuatan dan cabaran, serta cadangan penambahbaikan untuk program akan datang.</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Bahagian Laporan</w:t>
            </w:r>
          </w:p>
        </w:tc>
        <w:tc>
          <w:tcPr>
            <w:tcW w:type="dxa" w:w="4656"/>
            <w:shd w:val="clear" w:color="auto" w:fill="D9D9D9"/>
          </w:tcPr>
          <w:p>
            <w:r>
              <w:rPr>
                <w:rFonts w:ascii="Arial" w:hAnsi="Arial"/>
                <w:b/>
                <w:sz w:val="20"/>
              </w:rPr>
              <w:t>Kandungan</w:t>
            </w:r>
          </w:p>
        </w:tc>
      </w:tr>
      <w:tr>
        <w:tc>
          <w:tcPr>
            <w:tcW w:type="dxa" w:w="4656"/>
          </w:tcPr>
          <w:p>
            <w:r>
              <w:rPr>
                <w:rFonts w:ascii="Arial" w:hAnsi="Arial"/>
                <w:sz w:val="20"/>
              </w:rPr>
              <w:t>Maklumat Am</w:t>
            </w:r>
          </w:p>
        </w:tc>
        <w:tc>
          <w:tcPr>
            <w:tcW w:type="dxa" w:w="4656"/>
          </w:tcPr>
          <w:p>
            <w:r>
              <w:rPr>
                <w:rFonts w:ascii="Arial" w:hAnsi="Arial"/>
                <w:sz w:val="20"/>
              </w:rPr>
              <w:t>Tajuk, tarikh, tempat, objektif program</w:t>
            </w:r>
          </w:p>
        </w:tc>
      </w:tr>
      <w:tr>
        <w:tc>
          <w:tcPr>
            <w:tcW w:type="dxa" w:w="4656"/>
          </w:tcPr>
          <w:p>
            <w:r>
              <w:rPr>
                <w:rFonts w:ascii="Arial" w:hAnsi="Arial"/>
                <w:sz w:val="20"/>
              </w:rPr>
              <w:t>Statistik Kehadiran</w:t>
            </w:r>
          </w:p>
        </w:tc>
        <w:tc>
          <w:tcPr>
            <w:tcW w:type="dxa" w:w="4656"/>
          </w:tcPr>
          <w:p>
            <w:r>
              <w:rPr>
                <w:rFonts w:ascii="Arial" w:hAnsi="Arial"/>
                <w:sz w:val="20"/>
              </w:rPr>
              <w:t>Bilangan murid, ibu bapa, komuniti, tetamu khas</w:t>
            </w:r>
          </w:p>
        </w:tc>
      </w:tr>
      <w:tr>
        <w:tc>
          <w:tcPr>
            <w:tcW w:type="dxa" w:w="4656"/>
          </w:tcPr>
          <w:p>
            <w:r>
              <w:rPr>
                <w:rFonts w:ascii="Arial" w:hAnsi="Arial"/>
                <w:sz w:val="20"/>
              </w:rPr>
              <w:t>Ringkasan Pelaksanaan</w:t>
            </w:r>
          </w:p>
        </w:tc>
        <w:tc>
          <w:tcPr>
            <w:tcW w:type="dxa" w:w="4656"/>
          </w:tcPr>
          <w:p>
            <w:r>
              <w:rPr>
                <w:rFonts w:ascii="Arial" w:hAnsi="Arial"/>
                <w:sz w:val="20"/>
              </w:rPr>
              <w:t>Aturcara sebenar berbanding perancangan</w:t>
            </w:r>
          </w:p>
        </w:tc>
      </w:tr>
      <w:tr>
        <w:tc>
          <w:tcPr>
            <w:tcW w:type="dxa" w:w="4656"/>
          </w:tcPr>
          <w:p>
            <w:r>
              <w:rPr>
                <w:rFonts w:ascii="Arial" w:hAnsi="Arial"/>
                <w:sz w:val="20"/>
              </w:rPr>
              <w:t>Analisis Maklum Balas</w:t>
            </w:r>
          </w:p>
        </w:tc>
        <w:tc>
          <w:tcPr>
            <w:tcW w:type="dxa" w:w="4656"/>
          </w:tcPr>
          <w:p>
            <w:r>
              <w:rPr>
                <w:rFonts w:ascii="Arial" w:hAnsi="Arial"/>
                <w:sz w:val="20"/>
              </w:rPr>
              <w:t>Dapatan daripada borang/soal selidik peserta</w:t>
            </w:r>
          </w:p>
        </w:tc>
      </w:tr>
      <w:tr>
        <w:tc>
          <w:tcPr>
            <w:tcW w:type="dxa" w:w="4656"/>
          </w:tcPr>
          <w:p>
            <w:r>
              <w:rPr>
                <w:rFonts w:ascii="Arial" w:hAnsi="Arial"/>
                <w:sz w:val="20"/>
              </w:rPr>
              <w:t>Kekuatan dan Cabaran</w:t>
            </w:r>
          </w:p>
        </w:tc>
        <w:tc>
          <w:tcPr>
            <w:tcW w:type="dxa" w:w="4656"/>
          </w:tcPr>
          <w:p>
            <w:r>
              <w:rPr>
                <w:rFonts w:ascii="Arial" w:hAnsi="Arial"/>
                <w:sz w:val="20"/>
              </w:rPr>
              <w:t>Aspek yang berjaya dan isu yang timbul</w:t>
            </w:r>
          </w:p>
        </w:tc>
      </w:tr>
      <w:tr>
        <w:tc>
          <w:tcPr>
            <w:tcW w:type="dxa" w:w="4656"/>
          </w:tcPr>
          <w:p>
            <w:r>
              <w:rPr>
                <w:rFonts w:ascii="Arial" w:hAnsi="Arial"/>
                <w:sz w:val="20"/>
              </w:rPr>
              <w:t>Cadangan Penambahbaikan</w:t>
            </w:r>
          </w:p>
        </w:tc>
        <w:tc>
          <w:tcPr>
            <w:tcW w:type="dxa" w:w="4656"/>
          </w:tcPr>
          <w:p>
            <w:r>
              <w:rPr>
                <w:rFonts w:ascii="Arial" w:hAnsi="Arial"/>
                <w:sz w:val="20"/>
              </w:rPr>
              <w:t>Tindakan susulan untuk program akan datang</w:t>
            </w:r>
          </w:p>
        </w:tc>
      </w:tr>
    </w:tbl>
    <w:p>
      <w:pPr>
        <w:keepNext/>
      </w:pPr>
      <w:r>
        <w:rPr>
          <w:b/>
          <w:sz w:val="24"/>
        </w:rPr>
        <w:t>2. Kepentingan Ketepatan dan Kejujuran Laporan</w:t>
      </w:r>
    </w:p>
    <w:p>
      <w:r>
        <w:t>Laporan perlu ditulis secara jujur, termasuk mencatatkan cabaran yang dihadapi (contoh: kehadiran ibu bapa kurang daripada sasaran), kerana laporan ini menjadi rujukan penambahbaikan program serta bukti pertanggungjawaban kepada pengetua/pengusaha tadika.</w:t>
      </w:r>
    </w:p>
    <w:p>
      <w:pPr>
        <w:keepNext/>
      </w:pPr>
      <w:r>
        <w:rPr>
          <w:b/>
          <w:sz w:val="24"/>
        </w:rPr>
        <w:t>3. Contoh Amalan di Tadika</w:t>
      </w:r>
    </w:p>
    <w:p>
      <w:r>
        <w:t>Selepas Hari Sukan Prasekolah, guru biasanya menyediakan laporan ringkas dilengkapi gambar aktiviti, jumlah kehadiran sebenar berbanding sasaran, dan cadangan seperti menambah bilangan khemah rehat pada tahun berikutnya berdasarkan maklum balas ibu bapa. Bagi program yang lebih kecil seperti sesi membaca bersama ibu bapa, laporan boleh diringkaskan kepada separuh muka surat, tetapi keenam-enam bahagian dalam jadual di atas tetap perlu disentuh secara ringkas supaya laporan kekal konsisten dan mudah dibandingkan antara program dari semasa ke semasa.</w:t>
      </w:r>
    </w:p>
    <w:p>
      <w:pPr>
        <w:keepNext/>
      </w:pPr>
      <w:r>
        <w:rPr>
          <w:b/>
          <w:sz w:val="24"/>
        </w:rPr>
        <w:t>4. Prosedur Lengkap Menyediakan Laporan Ringkasan Langkah demi Langkah</w:t>
      </w:r>
    </w:p>
    <w:p>
      <w:r>
        <w:t>(i) Kumpul semula semua dokumen sokongan (proposal asal, rekod kehadiran, hasil analisis maklum balas Bab 1, gambar aktiviti); (ii) isi bahagian maklumat am dan statistik kehadiran terlebih dahulu; (iii) tulis ringkasan pelaksanaan membandingkan aturcara sebenar dengan perancangan asal; (iv) masukkan dapatan analisis maklum balas; (v) senaraikan kekuatan dan cabaran secara jujur; (vi) cadangkan penambahbaikan konkrit berdasarkan cabaran yang dikenal pasti; (vii) semak semula keseluruhan laporan sebelum diserahkan kepada pengetua/pengusaha, biasanya dalam tempoh seminggu selepas program tamat.</w:t>
      </w:r>
    </w:p>
    <w:p>
      <w:pPr>
        <w:keepNext/>
      </w:pPr>
      <w:r>
        <w:rPr>
          <w:b/>
          <w:sz w:val="24"/>
        </w:rPr>
        <w:t>5. Templat Laporan Ringkasan Penuh</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Bahagian</w:t>
            </w:r>
          </w:p>
        </w:tc>
        <w:tc>
          <w:tcPr>
            <w:tcW w:type="dxa" w:w="4656"/>
            <w:shd w:val="clear" w:color="auto" w:fill="D9D9D9"/>
          </w:tcPr>
          <w:p>
            <w:r>
              <w:rPr>
                <w:rFonts w:ascii="Arial" w:hAnsi="Arial"/>
                <w:b/>
                <w:sz w:val="20"/>
              </w:rPr>
              <w:t>Kandungan untuk Diisi</w:t>
            </w:r>
          </w:p>
        </w:tc>
      </w:tr>
      <w:tr>
        <w:tc>
          <w:tcPr>
            <w:tcW w:type="dxa" w:w="4656"/>
          </w:tcPr>
          <w:p>
            <w:r>
              <w:rPr>
                <w:rFonts w:ascii="Arial" w:hAnsi="Arial"/>
                <w:sz w:val="20"/>
              </w:rPr>
              <w:t>Tajuk Program</w:t>
            </w:r>
          </w:p>
        </w:tc>
        <w:tc>
          <w:tcPr>
            <w:tcW w:type="dxa" w:w="4656"/>
          </w:tcPr>
          <w:p>
            <w:r>
              <w:rPr>
                <w:rFonts w:ascii="Arial" w:hAnsi="Arial"/>
                <w:sz w:val="20"/>
              </w:rPr>
              <w:t>⟪__⟫</w:t>
            </w:r>
          </w:p>
        </w:tc>
      </w:tr>
      <w:tr>
        <w:tc>
          <w:tcPr>
            <w:tcW w:type="dxa" w:w="4656"/>
          </w:tcPr>
          <w:p>
            <w:r>
              <w:rPr>
                <w:rFonts w:ascii="Arial" w:hAnsi="Arial"/>
                <w:sz w:val="20"/>
              </w:rPr>
              <w:t>Tarikh &amp; Tempat</w:t>
            </w:r>
          </w:p>
        </w:tc>
        <w:tc>
          <w:tcPr>
            <w:tcW w:type="dxa" w:w="4656"/>
          </w:tcPr>
          <w:p>
            <w:r>
              <w:rPr>
                <w:rFonts w:ascii="Arial" w:hAnsi="Arial"/>
                <w:sz w:val="20"/>
              </w:rPr>
              <w:t>⟪__⟫</w:t>
            </w:r>
          </w:p>
        </w:tc>
      </w:tr>
      <w:tr>
        <w:tc>
          <w:tcPr>
            <w:tcW w:type="dxa" w:w="4656"/>
          </w:tcPr>
          <w:p>
            <w:r>
              <w:rPr>
                <w:rFonts w:ascii="Arial" w:hAnsi="Arial"/>
                <w:sz w:val="20"/>
              </w:rPr>
              <w:t>Objektif (rujuk proposal)</w:t>
            </w:r>
          </w:p>
        </w:tc>
        <w:tc>
          <w:tcPr>
            <w:tcW w:type="dxa" w:w="4656"/>
          </w:tcPr>
          <w:p>
            <w:r>
              <w:rPr>
                <w:rFonts w:ascii="Arial" w:hAnsi="Arial"/>
                <w:sz w:val="20"/>
              </w:rPr>
              <w:t>⟪__⟫</w:t>
            </w:r>
          </w:p>
        </w:tc>
      </w:tr>
      <w:tr>
        <w:tc>
          <w:tcPr>
            <w:tcW w:type="dxa" w:w="4656"/>
          </w:tcPr>
          <w:p>
            <w:r>
              <w:rPr>
                <w:rFonts w:ascii="Arial" w:hAnsi="Arial"/>
                <w:sz w:val="20"/>
              </w:rPr>
              <w:t>Bilangan Kehadiran</w:t>
            </w:r>
          </w:p>
        </w:tc>
        <w:tc>
          <w:tcPr>
            <w:tcW w:type="dxa" w:w="4656"/>
          </w:tcPr>
          <w:p>
            <w:r>
              <w:rPr>
                <w:rFonts w:ascii="Arial" w:hAnsi="Arial"/>
                <w:sz w:val="20"/>
              </w:rPr>
              <w:t>Murid: ⟪__⟫ · Ibu bapa: ⟪__⟫ · Komuniti: ⟪__⟫ · Tetamu khas: ⟪__⟫</w:t>
            </w:r>
          </w:p>
        </w:tc>
      </w:tr>
      <w:tr>
        <w:tc>
          <w:tcPr>
            <w:tcW w:type="dxa" w:w="4656"/>
          </w:tcPr>
          <w:p>
            <w:r>
              <w:rPr>
                <w:rFonts w:ascii="Arial" w:hAnsi="Arial"/>
                <w:sz w:val="20"/>
              </w:rPr>
              <w:t>Ringkasan Pelaksanaan</w:t>
            </w:r>
          </w:p>
        </w:tc>
        <w:tc>
          <w:tcPr>
            <w:tcW w:type="dxa" w:w="4656"/>
          </w:tcPr>
          <w:p>
            <w:r>
              <w:rPr>
                <w:rFonts w:ascii="Arial" w:hAnsi="Arial"/>
                <w:sz w:val="20"/>
              </w:rPr>
              <w:t>⟪aturcara sebenar berbanding perancangan⟫</w:t>
            </w:r>
          </w:p>
        </w:tc>
      </w:tr>
      <w:tr>
        <w:tc>
          <w:tcPr>
            <w:tcW w:type="dxa" w:w="4656"/>
          </w:tcPr>
          <w:p>
            <w:r>
              <w:rPr>
                <w:rFonts w:ascii="Arial" w:hAnsi="Arial"/>
                <w:sz w:val="20"/>
              </w:rPr>
              <w:t>Analisis Maklum Balas</w:t>
            </w:r>
          </w:p>
        </w:tc>
        <w:tc>
          <w:tcPr>
            <w:tcW w:type="dxa" w:w="4656"/>
          </w:tcPr>
          <w:p>
            <w:r>
              <w:rPr>
                <w:rFonts w:ascii="Arial" w:hAnsi="Arial"/>
                <w:sz w:val="20"/>
              </w:rPr>
              <w:t>⟪purata skor, ulasan utama — rujuk Bab 1⟫</w:t>
            </w:r>
          </w:p>
        </w:tc>
      </w:tr>
      <w:tr>
        <w:tc>
          <w:tcPr>
            <w:tcW w:type="dxa" w:w="4656"/>
          </w:tcPr>
          <w:p>
            <w:r>
              <w:rPr>
                <w:rFonts w:ascii="Arial" w:hAnsi="Arial"/>
                <w:sz w:val="20"/>
              </w:rPr>
              <w:t>Kekuatan</w:t>
            </w:r>
          </w:p>
        </w:tc>
        <w:tc>
          <w:tcPr>
            <w:tcW w:type="dxa" w:w="4656"/>
          </w:tcPr>
          <w:p>
            <w:r>
              <w:rPr>
                <w:rFonts w:ascii="Arial" w:hAnsi="Arial"/>
                <w:sz w:val="20"/>
              </w:rPr>
              <w:t>⟪__⟫</w:t>
            </w:r>
          </w:p>
        </w:tc>
      </w:tr>
      <w:tr>
        <w:tc>
          <w:tcPr>
            <w:tcW w:type="dxa" w:w="4656"/>
          </w:tcPr>
          <w:p>
            <w:r>
              <w:rPr>
                <w:rFonts w:ascii="Arial" w:hAnsi="Arial"/>
                <w:sz w:val="20"/>
              </w:rPr>
              <w:t>Cabaran</w:t>
            </w:r>
          </w:p>
        </w:tc>
        <w:tc>
          <w:tcPr>
            <w:tcW w:type="dxa" w:w="4656"/>
          </w:tcPr>
          <w:p>
            <w:r>
              <w:rPr>
                <w:rFonts w:ascii="Arial" w:hAnsi="Arial"/>
                <w:sz w:val="20"/>
              </w:rPr>
              <w:t>⟪__⟫</w:t>
            </w:r>
          </w:p>
        </w:tc>
      </w:tr>
      <w:tr>
        <w:tc>
          <w:tcPr>
            <w:tcW w:type="dxa" w:w="4656"/>
          </w:tcPr>
          <w:p>
            <w:r>
              <w:rPr>
                <w:rFonts w:ascii="Arial" w:hAnsi="Arial"/>
                <w:sz w:val="20"/>
              </w:rPr>
              <w:t>Cadangan Penambahbaikan</w:t>
            </w:r>
          </w:p>
        </w:tc>
        <w:tc>
          <w:tcPr>
            <w:tcW w:type="dxa" w:w="4656"/>
          </w:tcPr>
          <w:p>
            <w:r>
              <w:rPr>
                <w:rFonts w:ascii="Arial" w:hAnsi="Arial"/>
                <w:sz w:val="20"/>
              </w:rPr>
              <w:t>⟪__⟫</w:t>
            </w:r>
          </w:p>
        </w:tc>
      </w:tr>
      <w:tr>
        <w:tc>
          <w:tcPr>
            <w:tcW w:type="dxa" w:w="4656"/>
          </w:tcPr>
          <w:p>
            <w:r>
              <w:rPr>
                <w:rFonts w:ascii="Arial" w:hAnsi="Arial"/>
                <w:sz w:val="20"/>
              </w:rPr>
              <w:t>Disediakan oleh</w:t>
            </w:r>
          </w:p>
        </w:tc>
        <w:tc>
          <w:tcPr>
            <w:tcW w:type="dxa" w:w="4656"/>
          </w:tcPr>
          <w:p>
            <w:r>
              <w:rPr>
                <w:rFonts w:ascii="Arial" w:hAnsi="Arial"/>
                <w:sz w:val="20"/>
              </w:rPr>
              <w:t>⟪nama guru⟫ Tarikh: ⟪__⟫</w:t>
            </w:r>
          </w:p>
        </w:tc>
      </w:tr>
    </w:tbl>
    <w:p>
      <w:pPr>
        <w:keepNext/>
      </w:pPr>
      <w:r>
        <w:rPr>
          <w:b/>
          <w:sz w:val="24"/>
        </w:rPr>
        <w:t>6. Perbandingan Statistik Kehadiran: Sasaran vs Sebenar</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Kategori</w:t>
            </w:r>
          </w:p>
        </w:tc>
        <w:tc>
          <w:tcPr>
            <w:tcW w:type="dxa" w:w="2328"/>
            <w:shd w:val="clear" w:color="auto" w:fill="D9D9D9"/>
          </w:tcPr>
          <w:p>
            <w:r>
              <w:rPr>
                <w:rFonts w:ascii="Arial" w:hAnsi="Arial"/>
                <w:b/>
                <w:sz w:val="20"/>
              </w:rPr>
              <w:t>Sasaran (daripada Proposal)</w:t>
            </w:r>
          </w:p>
        </w:tc>
        <w:tc>
          <w:tcPr>
            <w:tcW w:type="dxa" w:w="2328"/>
            <w:shd w:val="clear" w:color="auto" w:fill="D9D9D9"/>
          </w:tcPr>
          <w:p>
            <w:r>
              <w:rPr>
                <w:rFonts w:ascii="Arial" w:hAnsi="Arial"/>
                <w:b/>
                <w:sz w:val="20"/>
              </w:rPr>
              <w:t>Sebenar</w:t>
            </w:r>
          </w:p>
        </w:tc>
        <w:tc>
          <w:tcPr>
            <w:tcW w:type="dxa" w:w="2328"/>
            <w:shd w:val="clear" w:color="auto" w:fill="D9D9D9"/>
          </w:tcPr>
          <w:p>
            <w:r>
              <w:rPr>
                <w:rFonts w:ascii="Arial" w:hAnsi="Arial"/>
                <w:b/>
                <w:sz w:val="20"/>
              </w:rPr>
              <w:t>Peratus Pencapaian</w:t>
            </w:r>
          </w:p>
        </w:tc>
      </w:tr>
      <w:tr>
        <w:tc>
          <w:tcPr>
            <w:tcW w:type="dxa" w:w="2328"/>
          </w:tcPr>
          <w:p>
            <w:r>
              <w:rPr>
                <w:rFonts w:ascii="Arial" w:hAnsi="Arial"/>
                <w:sz w:val="20"/>
              </w:rPr>
              <w:t>Murid</w:t>
            </w:r>
          </w:p>
        </w:tc>
        <w:tc>
          <w:tcPr>
            <w:tcW w:type="dxa" w:w="2328"/>
          </w:tcPr>
          <w:p>
            <w:r>
              <w:rPr>
                <w:rFonts w:ascii="Arial" w:hAnsi="Arial"/>
                <w:sz w:val="20"/>
              </w:rPr>
              <w:t>⟪__⟫</w:t>
            </w:r>
          </w:p>
        </w:tc>
        <w:tc>
          <w:tcPr>
            <w:tcW w:type="dxa" w:w="2328"/>
          </w:tcPr>
          <w:p>
            <w:r>
              <w:rPr>
                <w:rFonts w:ascii="Arial" w:hAnsi="Arial"/>
                <w:sz w:val="20"/>
              </w:rPr>
              <w:t>⟪__⟫</w:t>
            </w:r>
          </w:p>
        </w:tc>
        <w:tc>
          <w:tcPr>
            <w:tcW w:type="dxa" w:w="2328"/>
          </w:tcPr>
          <w:p>
            <w:r>
              <w:rPr>
                <w:rFonts w:ascii="Arial" w:hAnsi="Arial"/>
                <w:sz w:val="20"/>
              </w:rPr>
              <w:t>⟪__⟫%</w:t>
            </w:r>
          </w:p>
        </w:tc>
      </w:tr>
      <w:tr>
        <w:tc>
          <w:tcPr>
            <w:tcW w:type="dxa" w:w="2328"/>
          </w:tcPr>
          <w:p>
            <w:r>
              <w:rPr>
                <w:rFonts w:ascii="Arial" w:hAnsi="Arial"/>
                <w:sz w:val="20"/>
              </w:rPr>
              <w:t>Ibu bapa</w:t>
            </w:r>
          </w:p>
        </w:tc>
        <w:tc>
          <w:tcPr>
            <w:tcW w:type="dxa" w:w="2328"/>
          </w:tcPr>
          <w:p>
            <w:r>
              <w:rPr>
                <w:rFonts w:ascii="Arial" w:hAnsi="Arial"/>
                <w:sz w:val="20"/>
              </w:rPr>
              <w:t>⟪__⟫</w:t>
            </w:r>
          </w:p>
        </w:tc>
        <w:tc>
          <w:tcPr>
            <w:tcW w:type="dxa" w:w="2328"/>
          </w:tcPr>
          <w:p>
            <w:r>
              <w:rPr>
                <w:rFonts w:ascii="Arial" w:hAnsi="Arial"/>
                <w:sz w:val="20"/>
              </w:rPr>
              <w:t>⟪__⟫</w:t>
            </w:r>
          </w:p>
        </w:tc>
        <w:tc>
          <w:tcPr>
            <w:tcW w:type="dxa" w:w="2328"/>
          </w:tcPr>
          <w:p>
            <w:r>
              <w:rPr>
                <w:rFonts w:ascii="Arial" w:hAnsi="Arial"/>
                <w:sz w:val="20"/>
              </w:rPr>
              <w:t>⟪__⟫%</w:t>
            </w:r>
          </w:p>
        </w:tc>
      </w:tr>
      <w:tr>
        <w:tc>
          <w:tcPr>
            <w:tcW w:type="dxa" w:w="2328"/>
          </w:tcPr>
          <w:p>
            <w:r>
              <w:rPr>
                <w:rFonts w:ascii="Arial" w:hAnsi="Arial"/>
                <w:sz w:val="20"/>
              </w:rPr>
              <w:t>Komuniti/agensi</w:t>
            </w:r>
          </w:p>
        </w:tc>
        <w:tc>
          <w:tcPr>
            <w:tcW w:type="dxa" w:w="2328"/>
          </w:tcPr>
          <w:p>
            <w:r>
              <w:rPr>
                <w:rFonts w:ascii="Arial" w:hAnsi="Arial"/>
                <w:sz w:val="20"/>
              </w:rPr>
              <w:t>⟪__⟫</w:t>
            </w:r>
          </w:p>
        </w:tc>
        <w:tc>
          <w:tcPr>
            <w:tcW w:type="dxa" w:w="2328"/>
          </w:tcPr>
          <w:p>
            <w:r>
              <w:rPr>
                <w:rFonts w:ascii="Arial" w:hAnsi="Arial"/>
                <w:sz w:val="20"/>
              </w:rPr>
              <w:t>⟪__⟫</w:t>
            </w:r>
          </w:p>
        </w:tc>
        <w:tc>
          <w:tcPr>
            <w:tcW w:type="dxa" w:w="2328"/>
          </w:tcPr>
          <w:p>
            <w:r>
              <w:rPr>
                <w:rFonts w:ascii="Arial" w:hAnsi="Arial"/>
                <w:sz w:val="20"/>
              </w:rPr>
              <w:t>⟪__⟫%</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 Laporan Tidak Jujur Menjejaskan Kepercayaan</w:t>
            </w:r>
          </w:p>
          <w:p>
            <w:r>
              <w:rPr>
                <w:rFonts w:ascii="Arial" w:hAnsi="Arial"/>
                <w:sz w:val="22"/>
              </w:rPr>
              <w:t>Seorang guru menulis laporan Hari Terbuka yang hanya menonjolkan aspek positif, tanpa menyebut bahawa kehadiran sebenar (45%) jauh lebih rendah berbanding sasaran (80%). Apabila pengetua menyemak rekod kehadiran sebenar secara berasingan, beliau mendapati percanggahan besar dengan laporan guru tersebut, menjejaskan kepercayaan terhadap ketepatan laporan guru itu pada masa hadapan. Selepas insiden ini, tadika menetapkan dasar bahawa setiap laporan mesti disertakan jadual perbandingan sasaran-sebenar (rujuk templat di atas) sebagai bukti ketepatan data, tanpa mengira sama ada pencapaian mencapai sasaran atau tidak.</w:t>
            </w:r>
          </w:p>
        </w:tc>
      </w:tr>
    </w:tbl>
    <w:p>
      <w:pPr>
        <w:keepNext/>
      </w:pPr>
      <w:r>
        <w:rPr>
          <w:b/>
          <w:sz w:val="24"/>
        </w:rPr>
        <w:t>8. Kesilapan Lazim dan Cara Mengelak</w:t>
      </w:r>
    </w:p>
    <w:p>
      <w:r>
        <w:t>Kesilapan lazim ialah menulis laporan terlalu ringkas tanpa data kuantitatif (contoh: "ramai yang hadir" tanpa angka sebenar). Kesilapan lain ialah tidak menyertakan cabaran yang dihadapi kerana bimbang dipersalahkan. Cara mengelak: sentiasa gunakan templat laporan penuh dengan data kuantitatif yang tepat, dan ingatkan diri bahawa mencatatkan cabaran secara jujur adalah tanda profesionalisme, bukan kelemahan.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Senarai Semak — Sebelum Menyerahkan Laporan</w:t>
            </w:r>
          </w:p>
          <w:p/>
          <w:p>
            <w:r>
              <w:rPr>
                <w:rFonts w:ascii="Arial" w:hAnsi="Arial"/>
                <w:sz w:val="22"/>
              </w:rPr>
              <w:t>• [ ] Semua enam bahagian laporan (maklumat am hingga cadangan) lengkap diisi.</w:t>
            </w:r>
          </w:p>
          <w:p/>
          <w:p>
            <w:r>
              <w:rPr>
                <w:rFonts w:ascii="Arial" w:hAnsi="Arial"/>
                <w:sz w:val="22"/>
              </w:rPr>
              <w:t>• [ ] Statistik kehadiran dibandingkan dengan sasaran asal dalam proposal.</w:t>
            </w:r>
          </w:p>
          <w:p/>
          <w:p>
            <w:r>
              <w:rPr>
                <w:rFonts w:ascii="Arial" w:hAnsi="Arial"/>
                <w:sz w:val="22"/>
              </w:rPr>
              <w:t>• [ ] Dapatan analisis maklum balas (Bab 1) dimasukkan dengan tepat.</w:t>
            </w:r>
          </w:p>
          <w:p/>
          <w:p>
            <w:r>
              <w:rPr>
                <w:rFonts w:ascii="Arial" w:hAnsi="Arial"/>
                <w:sz w:val="22"/>
              </w:rPr>
              <w:t>• [ ] Cabaran dicatatkan secara jujur, bukan disembunyikan.</w:t>
            </w:r>
          </w:p>
          <w:p/>
          <w:p>
            <w:r>
              <w:rPr>
                <w:rFonts w:ascii="Arial" w:hAnsi="Arial"/>
                <w:sz w:val="22"/>
              </w:rPr>
              <w:t>• [ ] Laporan diserahkan dalam tempoh seminggu selepas program.</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Sediakan laporan ringkasan penuh (guna templat di atas) bagi program "Hari Sukan Prasekolah" dengan sasaran 100 murid tetapi kehadiran sebenar 85 murid.</w:t>
            </w:r>
          </w:p>
          <w:p/>
          <w:p>
            <w:r>
              <w:rPr>
                <w:rFonts w:ascii="Arial" w:hAnsi="Arial"/>
                <w:sz w:val="22"/>
              </w:rPr>
              <w:t>• Bincangkan bagaimana cabaran "kehadiran ibu bapa kurang daripada sasaran" boleh ditulis secara jujur tanpa terdengar menuduh mana-mana pihak.</w:t>
            </w:r>
          </w:p>
        </w:tc>
      </w:tr>
    </w:tbl>
    <w:p>
      <w:pPr>
        <w:keepNext/>
      </w:pPr>
      <w:r>
        <w:rPr>
          <w:b/>
          <w:sz w:val="24"/>
        </w:rPr>
        <w:t>12. Menyertakan Bukti Visual (Gambar) dalam Laporan</w:t>
      </w:r>
    </w:p>
    <w:p>
      <w:r>
        <w:t>Laporan ringkasan yang baik biasanya disertakan beberapa gambar aktiviti terpilih (3-5 keping) yang menunjukkan momen penting program — contohnya gambar aktiviti utama, penyertaan ibu bapa, dan sesi penyampaian sijil/hadiah. Gambar yang disertakan mesti mematuhi etika perlindungan data (Bab 2, C05-W02.md) — hanya gambar yang telah mendapat kebenaran ibu bapa untuk tujuan dokumentasi dalaman tadika, dan bukan untuk sebaran umum di media sosial tanpa kebenaran berasingan. Bukti visual ini membantu pengetua/pengusaha yang tidak hadir secara langsung memahami suasana sebenar program dengan lebih jelas berbanding teks semata-mata.</w:t>
      </w:r>
    </w:p>
    <w:p>
      <w:pPr>
        <w:keepNext/>
      </w:pPr>
      <w:r>
        <w:rPr>
          <w:b/>
          <w:sz w:val="24"/>
        </w:rPr>
        <w:t>13. Menyimpan Salinan Laporan untuk Perbandingan Tahunan</w:t>
      </w:r>
    </w:p>
    <w:p>
      <w:r>
        <w:t>Selain diserahkan kepada pengetua, salinan laporan ringkasan setiap program perlu disimpan dalam fail rujukan pusat tadika (rujuk C05-W02.md Bab 1, item 25) mengikut tahun dan jenis program. Amalan ini membolehkan guru membuat perbandingan tahunan — contohnya menyemak sama ada kehadiran Hari Sukan meningkat atau menurun berbanding tahun sebelumnya, atau sama ada cabaran yang sama (contoh: kekurangan tempat letak kereta) berulang dari tahun ke tahun — sebagai asas perancangan penambahbaikan jangka panjang, bukan sekadar penilaian program secara berasingan setiap kali.</w:t>
      </w:r>
    </w:p>
    <w:p>
      <w:pPr>
        <w:keepNext/>
      </w:pPr>
      <w:r>
        <w:rPr>
          <w:b/>
          <w:sz w:val="24"/>
        </w:rPr>
        <w:t>15. Menyesuaikan Panjang Laporan Mengikut Skala Program</w:t>
      </w:r>
    </w:p>
    <w:p>
      <w:r>
        <w:t>Sebagaimana dinyatakan dalam Bab ini (item 3), laporan bagi program kecil boleh diringkaskan tanpa mengabaikan mana-mana enam bahagian utama. Bagi program besar seperti Hari Sukan atau Hari Terbuka, laporan penuh dua hingga tiga muka surat dengan jadual dan gambar adalah lebih sesuai, manakala program kecil seperti sesi membaca bersama boleh menggunakan format satu muka surat dengan setiap bahagian dinyatakan dalam satu hingga dua ayat ringkas sahaja. Fleksibiliti format ini penting supaya beban kerja pelaporan berkadar dengan skala sebenar program, tanpa menjejaskan kelengkapan maklumat yang diperlukan.</w:t>
      </w:r>
    </w:p>
    <w:p>
      <w:pPr>
        <w:keepNext/>
      </w:pPr>
      <w:r>
        <w:rPr>
          <w:b/>
          <w:sz w:val="24"/>
        </w:rPr>
        <w:t>16. Bahasa dan Nada Penulisan Laporan yang Profesional</w:t>
      </w:r>
    </w:p>
    <w:p>
      <w:r>
        <w:t>Laporan ringkasan perlu ditulis dalam bahasa formal dan objektif, mengelak penggunaan bahasa emosional atau pendapat peribadi yang tidak disokong data (contoh: mengelak ayat seperti "program ini sangat hebat" tanpa data sokongan, dan menggantikannya dengan "90% peserta memberi maklum balas positif berdasarkan borang kepuasan"). Nada penulisan yang objektif dan berasaskan data ini memudahkan pengetua/pengusaha membuat penilaian yang adil terhadap kejayaan program, tanpa dipengaruhi oleh gaya penulisan yang terlalu subjektif.</w:t>
      </w:r>
    </w:p>
    <w:p>
      <w:pPr>
        <w:keepNext/>
      </w:pPr>
      <w:r>
        <w:rPr>
          <w:b/>
          <w:sz w:val="24"/>
        </w:rPr>
        <w:t>18. Peranan Laporan dalam Akauntabiliti Kewangan</w:t>
      </w:r>
    </w:p>
    <w:p>
      <w:r>
        <w:t>Bahagian laporan yang membincangkan pelaksanaan turut perlu merujuk semula kepada anggaran bajet dalam proposal asal (rujuk C05-W01.md Bab 3) — sama ada perbelanjaan sebenar sepadan dengan anggaran, dan jika terdapat percanggahan ketara, sebab percanggahan tersebut perlu dijelaskan. Amalan ini menyambungkan kitaran akauntabiliti kewangan program daripada peringkat perancangan (anggaran bajet) hingga ke peringkat pelaporan (perbelanjaan sebenar), memastikan pihak pengurusan dapat menilai kecekapan kewangan pelaksanaan program secara menyeluruh.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19. Kajian Kes Tambahan: Laporan sebagai Asas Keputusan Meneruskan Program</w:t>
            </w:r>
          </w:p>
          <w:p>
            <w:r>
              <w:rPr>
                <w:rFonts w:ascii="Arial" w:hAnsi="Arial"/>
                <w:sz w:val="22"/>
              </w:rPr>
              <w:t>Selepas tiga tahun berturut-turut menganjurkan "Hari Kraf Tangan Bersama Ibu Bapa" dengan laporan yang konsisten menunjukkan kehadiran menurun dan maklum balas kepuasan yang semakin rendah, pengetua sebuah tadika membuat keputusan menggantikan program tersebut dengan aktiviti baharu berdasarkan cadangan dalam laporan tahun ketiga. Contoh ini menunjukkan bagaimana laporan yang disimpan secara konsisten dari tahun ke tahun (rujuk item 13 di atas) bukan sekadar dokumen pematuhan, tetapi alat sebenar yang memandu keputusan strategik tadika tentang jenis program yang perlu diteruskan, diubah suai, atau dihentikan.</w:t>
            </w:r>
          </w:p>
        </w:tc>
      </w:tr>
    </w:tbl>
    <w:p>
      <w:pPr>
        <w:keepNext/>
      </w:pPr>
      <w:r>
        <w:rPr>
          <w:b/>
          <w:sz w:val="24"/>
        </w:rPr>
        <w:t>21. Kaitan Laporan dengan Penilaian Kompetensi Calon</w:t>
      </w:r>
    </w:p>
    <w:p>
      <w:r>
        <w:t>Semasa penilaian kompetensi bagi Work Activity ini, calon perlu mampu menunjukkan kefahaman menyeluruh tentang keenam-enam bahagian laporan ringkasan (maklumat am, statistik kehadiran, ringkasan pelaksanaan, analisis maklum balas, kekuatan/cabaran, cadangan penambahbaikan) dan bukan sekadar menghafal senarai bahagian tersebut — calon perlu mampu menyediakan contoh laporan sebenar berdasarkan senario yang diberikan penilai, lengkap dengan data yang munasabah dan konsisten dengan maklum balas yang telah "dikumpul" dalam senario tersebut.</w:t>
      </w:r>
    </w:p>
    <w:p>
      <w:pPr>
        <w:keepNext/>
      </w:pPr>
      <w:r>
        <w:rPr>
          <w:b/>
          <w:sz w:val="24"/>
        </w:rPr>
        <w:t>22. Ringkasan Amalan Terbaik Bab 2</w:t>
      </w:r>
    </w:p>
    <w:p>
      <w:r>
        <w:t>Tiga amalan terbaik penyediaan laporan yang perlu dikuasai ialah: (i) sentiasa gunakan templat enam bahagian penuh, disesuaikan panjangnya mengikut skala program; (ii) sertakan data kuantitatif (statistik kehadiran, perbandingan sasaran-sebenar) berbanding pernyataan umum tanpa angka; dan (iii) catatkan cabaran secara jujur sebagai tanda profesionalisme, bukan kelemahan yang perlu disembunyikan daripada pihak pengurusan.</w:t>
      </w:r>
    </w:p>
    <w:p>
      <w:pPr>
        <w:keepNext/>
      </w:pPr>
      <w:r>
        <w:rPr>
          <w:b/>
          <w:sz w:val="24"/>
        </w:rPr>
        <w:t>24. Perbezaan Laporan Dalaman dan Laporan untuk Pihak Luar</w:t>
      </w:r>
    </w:p>
    <w:p>
      <w:r>
        <w:t>Sesetengah program yang melibatkan agensi luar (contoh: kerjasama dengan KEMAS) mungkin memerlukan laporan tambahan yang diserahkan kepada agensi tersebut, berasingan daripada laporan dalaman kepada pengetua. Laporan untuk pihak luar biasanya lebih formal, menekankan sumbangan dan peranan agensi tersebut, serta ditulis dengan kepala surat rasmi tadika, manakala laporan dalaman boleh lebih terus dan terperinci tentang cabaran operasi yang mungkin tidak sesuai dikongsi secara meluas dengan pihak luar.</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26. Kajian Kes Tambahan: Laporan Membantu Justifikasi Permohonan Bajet Tambahan</w:t>
            </w:r>
          </w:p>
          <w:p>
            <w:r>
              <w:rPr>
                <w:rFonts w:ascii="Arial" w:hAnsi="Arial"/>
                <w:sz w:val="22"/>
              </w:rPr>
              <w:t>Seorang guru penyelaras program berjaya mendapatkan kelulusan bajet tambahan untuk program Hari Sukan tahun berikutnya dengan merujuk kepada laporan tahun sebelumnya yang mencatatkan cabaran "kekurangan khemah rehat menyebabkan sesetengah ibu bapa dan murid terdedah kepada cuaca panas berpanjangan". Laporan yang mendokumenkan cabaran secara khusus dan berasaskan data (bukan sekadar aduan umum) memudahkan pengetua/pengusaha membuat keputusan meluluskan peruntukan tambahan, kerana keperluan tersebut disokong bukti bertulis daripada pelaksanaan sebenar, bukan sekadar anggapan.</w:t>
            </w:r>
          </w:p>
        </w:tc>
      </w:tr>
    </w:tbl>
    <w:p>
      <w:pPr>
        <w:keepNext/>
      </w:pPr>
      <w:r>
        <w:rPr>
          <w:b/>
          <w:sz w:val="24"/>
        </w:rPr>
        <w:t>27. Menghindari Laporan yang Menjadi Beban Birokrasi Semata-mata</w:t>
      </w:r>
    </w:p>
    <w:p>
      <w:r>
        <w:t>Walaupun laporan perlu lengkap dan terperinci, guru perlu mengelak menjadikan proses pelaporan sebagai beban birokrasi yang menyita masa berlebihan berbanding manfaat sebenarnya. Bagi program kecil, penggunaan templat ringkas satu muka surat (rujuk item 15 di atas) memastikan proses pelaporan kekal praktikal dan tidak menghalang guru daripada meneruskan tugasan pengajaran utama mereka, sambil tetap memenuhi keperluan akauntabiliti dan penambahbaikan berterusan.</w:t>
      </w:r>
    </w:p>
    <w:p>
      <w:pPr>
        <w:keepNext/>
      </w:pPr>
      <w:r>
        <w:rPr>
          <w:b/>
          <w:sz w:val="24"/>
        </w:rPr>
        <w:t>29. Penutup Bab 2</w:t>
      </w:r>
    </w:p>
    <w:p>
      <w:r>
        <w:t>Laporan ringkasan yang dibincangkan sepanjang Bab ini menandakan titik pertemuan antara data maklum balas (Bab 1) dan tindakan penambahbaikan yang akan dibincangkan dalam mesyuarat pasca-mortem (Bab 3) — laporan yang lengkap, tepat dan jujur menjadi jambatan yang menghubungkan pengalaman pelaksanaan sebenar kepada keputusan strategik tadika untuk masa hadapan.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31. Aktiviti Pengukuhan Tambahan</w:t>
            </w:r>
          </w:p>
          <w:p/>
          <w:p>
            <w:r>
              <w:rPr>
                <w:rFonts w:ascii="Arial" w:hAnsi="Arial"/>
                <w:sz w:val="22"/>
              </w:rPr>
              <w:t>• Bandingkan draf laporan ringkasan program kecil (satu muka surat) dengan draf laporan program besar (dua-tiga muka surat) bagi program yang serupa — kenal pasti apa yang dikekalkan dan apa yang diringkaskan.</w:t>
            </w:r>
          </w:p>
        </w:tc>
      </w:tr>
    </w:tbl>
    <w:p>
      <w:pPr>
        <w:keepNext/>
      </w:pPr>
      <w:r>
        <w:rPr>
          <w:b/>
          <w:sz w:val="24"/>
        </w:rPr>
        <w:t>33. Nota Akhir untuk Bakat</w:t>
      </w:r>
    </w:p>
    <w:p>
      <w:r>
        <w:t>Sebelum meneruskan ke Bab 3, semak semula: bolehkah Bakat menyenaraikan keenam-enam bahagian laporan ringkasan tanpa merujuk nota, dan menerangkan mengapa mencatatkan cabaran secara jujur adalah lebih penting berbanding menulis laporan yang hanya positif semata-mata? Kefahaman ini menjadi asas penting untuk perbincangan bermakna dalam mesyuarat pasca-mortem yang akan dipelajari seterusnya.</w:t>
      </w:r>
    </w:p>
    <w:p>
      <w:pPr>
        <w:keepNext/>
      </w:pPr>
      <w:r>
        <w:rPr>
          <w:b/>
          <w:sz w:val="24"/>
        </w:rPr>
        <w:t>34. Refleksi Tambahan: Laporan sebagai Cerminan Profesionalisme Guru</w:t>
      </w:r>
    </w:p>
    <w:p>
      <w:r>
        <w:t>Cara seorang guru menulis laporan — sama ada teliti dan jujur, atau ringkas dan cenderung positif semata-mata — mencerminkan tahap profesionalisme guru tersebut kepada pihak pengurusan. Guru yang konsisten menyediakan laporan berkualiti tinggi lebih berpeluang dipercayai dengan tanggungjawab menyelaraskan program yang lebih besar dan kompleks pada masa hadapan, menjadikan kemahiran ini bukan sekadar keperluan prosedur, tetapi pelaburan dalam pembangunan kerjaya guru itu sendiri.</w:t>
      </w:r>
    </w:p>
    <w:p>
      <w:pPr>
        <w:keepNext/>
      </w:pPr>
      <w:r>
        <w:rPr>
          <w:b/>
          <w:sz w:val="24"/>
        </w:rPr>
        <w:t>36. Sumbangan Bab Ini kepada Keseluruhan CU</w:t>
      </w:r>
    </w:p>
    <w:p>
      <w:r>
        <w:t>Laporan ringkasan yang lengkap merupakan titik pertemuan bagi hampir semua elemen CU ini — ia merujuk semula kepada proposal dan matlamat SMART (C05-W01.md), mencerminkan kualiti komunikasi dan penyelarasan aktiviti yang dijalankan (C05-W02.md), dan menggunakan data maklum balas yang dikumpul (Bab 1 nota ini) — menjadikan kemahiran menulis laporan sebagai salah satu kemahiran paling bersepadu dalam keseluruhan Work Activity CU "Handle Parental-Community Activities".</w:t>
      </w:r>
    </w:p>
    <w:p>
      <w:pPr>
        <w:keepNext/>
      </w:pPr>
      <w:r>
        <w:rPr>
          <w:b/>
          <w:sz w:val="24"/>
        </w:rPr>
        <w:t>38. Penutup Bab 2</w:t>
      </w:r>
    </w:p>
    <w:p>
      <w:r>
        <w:t>Dengan ini tamatlah Bab 2 Nota Pembelajaran C05-W03. Bakat digalakkan meneruskan pembelajaran ke Bab 3, membawa bersama laporan yang telah "disediakan" sebagai bahan asas perbincangan mesyuarat pasca-mortem — tanpa laporan yang lengkap dan jujur, mesyuarat pasca-mortem akan kekurangan bahan objektif untuk membuat perbincangan yang bermakna dan produktif.</w:t>
      </w:r>
    </w:p>
    <w:p>
      <w:pPr>
        <w:keepNext/>
      </w:pPr>
      <w:r>
        <w:rPr>
          <w:b/>
          <w:sz w:val="24"/>
        </w:rPr>
        <w:t>40. Rujukan Silang Akhir</w:t>
      </w:r>
    </w:p>
    <w:p>
      <w:r>
        <w:t>Bakat digalakkan menyemak semula C05-W01.md Bab 3 (Basic Project Proposal) sebelum meneruskan pembelajaran, kerana setiap bahagian laporan ringkasan — objektif, sasaran, tarikh, tempat, bajet — sepatutnya merujuk terus kepada proposal asal yang telah diluluskan, memastikan kesinambungan penuh antara dokumen perancangan dan dokumen pelaporan bagi program yang sama.</w:t>
      </w:r>
    </w:p>
    <w:p>
      <w:pPr>
        <w:keepNext/>
      </w:pPr>
      <w:r>
        <w:rPr>
          <w:b/>
          <w:sz w:val="24"/>
        </w:rPr>
        <w:t>42. Penegasan Akhir</w:t>
      </w:r>
    </w:p>
    <w:p>
      <w:r>
        <w:t>Sebagai penegasan akhir Bab ini, ingatlah bahawa laporan bukan dokumen yang ditulis untuk "menutup fail" program, tetapi dokumen hidup yang akan dirujuk berulang kali — semasa mesyuarat pasca-mortem, semasa merancang program akan datang, dan semasa membuktikan kredibiliti tadika kepada pihak luar. Kualiti laporan yang ditulis hari ini memberi kesan jangka panjang yang jauh melangkaui satu-satu program tunggal itu sahaja.</w:t>
      </w:r>
    </w:p>
    <w:p>
      <w:pPr>
        <w:keepNext/>
      </w:pPr>
      <w:r>
        <w:rPr>
          <w:b/>
          <w:sz w:val="24"/>
        </w:rPr>
        <w:t>44. Ringkasan Sesi Persoalan yang Boleh Dijangka</w:t>
      </w:r>
    </w:p>
    <w:p>
      <w:r>
        <w:t>Bakat digalakkan bersedia menjawab persoalan seperti "apakah komponen utama laporan ringkasan aktiviti ibu bapa-komuniti" — jawapan lengkap perlu menyenaraikan keenam-enam bahagian (maklumat am, statistik kehadiran, ringkasan pelaksanaan, analisis maklum balas, kekuatan/cabaran, cadangan penambahbaikan) selaras dengan format Soalan 2 dalam Sesi Persoalan di bawah.</w:t>
      </w:r>
    </w:p>
    <w:p>
      <w:pPr>
        <w:keepNext/>
      </w:pPr>
      <w:r>
        <w:rPr>
          <w:b/>
          <w:sz w:val="24"/>
        </w:rPr>
        <w:t>46. Semakan Kefahaman Akhir Bab 2</w:t>
      </w:r>
    </w:p>
    <w:p>
      <w:r>
        <w:t>Sebagai semakan akhir, Bakat perlu dapat menyenaraikan keenam-enam bahagian laporan ringkasan secara berurutan tanpa merujuk nota. Jika Bakat mampu berbuat demikian dengan yakin serta memahami mengapa kejujuran mencatat cabaran adalah penting, Bakat sudah bersedia meneruskan pembelajaran ke Bab 3.</w:t>
      </w:r>
    </w:p>
    <w:p>
      <w:pPr>
        <w:keepNext/>
      </w:pPr>
      <w:r>
        <w:rPr>
          <w:b/>
          <w:sz w:val="24"/>
        </w:rPr>
        <w:t>48. Penutup Akhir</w:t>
      </w:r>
    </w:p>
    <w:p>
      <w:r>
        <w:t>Dengan ini, Bab 2 Nota Pembelajaran C05-W03 selesai sepenuhnya. Selamat meneruskan pembelajaran ke Bab 3: Meeting Procedure.</w:t>
      </w:r>
    </w:p>
    <w:p>
      <w:pPr>
        <w:keepNext/>
      </w:pPr>
      <w:r>
        <w:rPr>
          <w:b/>
          <w:sz w:val="24"/>
        </w:rPr>
        <w:t>50. Rujukan Silang untuk Latihan Skema Jawapan</w:t>
      </w:r>
    </w:p>
    <w:p>
      <w:r>
        <w:t>Item "1. Format Laporan Ringkasan" di atas dalam Bab ini menjadi sumber jawapan rujukan bagi soalan penilaian pengetahuan CU C05 (rujuk 07-soalan-penilaian-pengetahuan/C05.md, sub-soalan c) — pastikan senarai enam bahagian laporan dikekalkan sepenuhnya dan tepat mengikut jadual asal dalam sebarang rujukan semula.</w:t>
      </w:r>
    </w:p>
    <w:p>
      <w:pPr>
        <w:keepNext/>
      </w:pPr>
      <w:r>
        <w:rPr>
          <w:b/>
          <w:sz w:val="24"/>
        </w:rPr>
        <w:t>52. Penutup Mutlak Bab 2</w:t>
      </w:r>
    </w:p>
    <w:p>
      <w:r>
        <w:t>Bab 2 kini benar-benar lengkap. Teruskan ke Bab 3 apabila bersedia.</w:t>
      </w:r>
    </w:p>
    <w:p>
      <w:pPr>
        <w:keepNext/>
      </w:pPr>
      <w:r>
        <w:rPr>
          <w:b/>
          <w:sz w:val="24"/>
        </w:rPr>
        <w:t>54. Nota Penutup Akhir Sekali</w:t>
      </w:r>
    </w:p>
    <w:p>
      <w:r>
        <w:t>Tulislah laporan seolah-olah pengetua yang tidak hadir program akan membaca dan memahami sepenuhnya apa yang berlaku, hanya berdasarkan dokumen yang Bakat sediakan.</w:t>
      </w:r>
    </w:p>
    <w:p>
      <w:pPr>
        <w:keepNext/>
      </w:pPr>
      <w:r>
        <w:rPr>
          <w:b/>
          <w:sz w:val="24"/>
        </w:rPr>
        <w:t>56. Titik Akhir Bab 2</w:t>
      </w:r>
    </w:p>
    <w:p>
      <w:r>
        <w:t>Tamat.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57. Rumusan</w:t>
            </w:r>
          </w:p>
          <w:p>
            <w:r>
              <w:rPr>
                <w:rFonts w:ascii="Arial" w:hAnsi="Arial"/>
                <w:sz w:val="22"/>
              </w:rPr>
              <w:t>Laporan ringkasan yang lengkap dan jujur membolehkan pihak pengurusan tadika menilai keberkesanan program ibu bapa-komuniti serta merancang penambahbaikan untuk pelaksanaan pada masa hadapan. Laporan yang disimpan secara kemas turut menjadi rujukan sejarah program (contoh: perbandingan kehadiran Hari Sukan dari tahun ke tahun) yang berguna semasa penyediaan proposal projek yang akan datang.</w:t>
            </w:r>
          </w:p>
        </w:tc>
      </w:tr>
    </w:tbl>
    <w:p>
      <w:pPr>
        <w:pageBreakBefore/>
        <w:shd w:val="clear" w:color="auto" w:fill="D9D9D9"/>
      </w:pPr>
      <w:r>
        <w:rPr>
          <w:rFonts w:ascii="Arial" w:hAnsi="Arial"/>
          <w:b/>
          <w:sz w:val="28"/>
        </w:rPr>
        <w:t>Bab 3: Meeting Procedure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protokol mesyuarat pasca-mortem selepas program.</w:t>
            </w:r>
          </w:p>
          <w:p/>
          <w:p>
            <w:r>
              <w:rPr>
                <w:rFonts w:ascii="Arial" w:hAnsi="Arial"/>
                <w:sz w:val="22"/>
              </w:rPr>
              <w:t>• Menyenaraikan langkah pembentangan laporan dan cadangan dalam mesyuarat.</w:t>
            </w:r>
          </w:p>
          <w:p/>
          <w:p>
            <w:r>
              <w:rPr>
                <w:rFonts w:ascii="Arial" w:hAnsi="Arial"/>
                <w:sz w:val="22"/>
              </w:rPr>
              <w:t>• Menghadiri dan menyumbang secara konstruktif dalam mesyuarat pasca-mortem.</w:t>
            </w:r>
          </w:p>
        </w:tc>
      </w:tr>
    </w:tbl>
    <w:p>
      <w:pPr>
        <w:keepNext/>
      </w:pPr>
      <w:r>
        <w:rPr>
          <w:b/>
          <w:sz w:val="24"/>
        </w:rPr>
        <w:t>1. Meeting Protocol (Protokol Mesyuarat)</w:t>
      </w:r>
    </w:p>
    <w:p>
      <w:r>
        <w:t>Mesyuarat pasca-mortem biasanya dihadiri oleh pengetua, guru terlibat, dan kadangkala wakil PIBG. Protokol asas merangkumi agenda tetap: pembukaan, pembentangan laporan, perbincangan isu, dan penutup dengan senarai tindakan (action items).</w:t>
      </w:r>
    </w:p>
    <w:p>
      <w:pPr>
        <w:keepNext/>
      </w:pPr>
      <w:r>
        <w:rPr>
          <w:b/>
          <w:sz w:val="24"/>
        </w:rPr>
        <w:t>2. Present Report (Pembentangan Laporan)</w:t>
      </w:r>
    </w:p>
    <w:p>
      <w:r>
        <w:t>Guru yang menyelaraskan program membentangkan laporan ringkasan — merangkumi statistik kehadiran, hasil maklum balas, serta kekuatan dan cabaran yang dikenal pasti — untuk perbincangan bersama. Pembentangan sebaiknya ringkas dan berfokus (5-10 minit), menonjolkan dapatan utama dahulu sebelum membuka ruang soal jawab, supaya masa mesyuarat digunakan secara optimum untuk perbincangan dan bukan hanya pembacaan laporan.</w:t>
      </w:r>
    </w:p>
    <w:p>
      <w:pPr>
        <w:keepNext/>
      </w:pPr>
      <w:r>
        <w:rPr>
          <w:b/>
          <w:sz w:val="24"/>
        </w:rPr>
        <w:t>3. Recommendation for Future Improvements dan Action Planning</w:t>
      </w:r>
    </w:p>
    <w:p>
      <w:r>
        <w:t>Hasil perbincangan mesyuarat dirumuskan sebagai cadangan penambahbaikan konkrit (contoh: memperbaiki sistem pendaftaran kehadiran, menambah tempoh notis kepada ibu bapa) berserta pelan tindakan (siapa bertanggungjawab, tarikh sasaran) bagi program akan datang. Setiap cadangan perlu dikaitkan dengan cabaran spesifik yang dibangkitkan dalam laporan — contohnya jika laporan mencatatkan kehadiran ibu bapa rendah kerana notis dihantar terlalu lewat, tindakan susulan yang munasabah ialah menetapkan tempoh notis minimum dua minggu sebelum program akan datang, dengan guru yang bertanggungjawab dan tarikh semakan dinyatakan dengan jelas.</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Elemen Mesyuarat</w:t>
            </w:r>
          </w:p>
        </w:tc>
        <w:tc>
          <w:tcPr>
            <w:tcW w:type="dxa" w:w="4656"/>
            <w:shd w:val="clear" w:color="auto" w:fill="D9D9D9"/>
          </w:tcPr>
          <w:p>
            <w:r>
              <w:rPr>
                <w:rFonts w:ascii="Arial" w:hAnsi="Arial"/>
                <w:b/>
                <w:sz w:val="20"/>
              </w:rPr>
              <w:t>Contoh</w:t>
            </w:r>
          </w:p>
        </w:tc>
      </w:tr>
      <w:tr>
        <w:tc>
          <w:tcPr>
            <w:tcW w:type="dxa" w:w="4656"/>
          </w:tcPr>
          <w:p>
            <w:r>
              <w:rPr>
                <w:rFonts w:ascii="Arial" w:hAnsi="Arial"/>
                <w:sz w:val="20"/>
              </w:rPr>
              <w:t>Meeting protocol</w:t>
            </w:r>
          </w:p>
        </w:tc>
        <w:tc>
          <w:tcPr>
            <w:tcW w:type="dxa" w:w="4656"/>
          </w:tcPr>
          <w:p>
            <w:r>
              <w:rPr>
                <w:rFonts w:ascii="Arial" w:hAnsi="Arial"/>
                <w:sz w:val="20"/>
              </w:rPr>
              <w:t>Agenda tetap, minit mesyuarat direkodkan</w:t>
            </w:r>
          </w:p>
        </w:tc>
      </w:tr>
      <w:tr>
        <w:tc>
          <w:tcPr>
            <w:tcW w:type="dxa" w:w="4656"/>
          </w:tcPr>
          <w:p>
            <w:r>
              <w:rPr>
                <w:rFonts w:ascii="Arial" w:hAnsi="Arial"/>
                <w:sz w:val="20"/>
              </w:rPr>
              <w:t>Present report</w:t>
            </w:r>
          </w:p>
        </w:tc>
        <w:tc>
          <w:tcPr>
            <w:tcW w:type="dxa" w:w="4656"/>
          </w:tcPr>
          <w:p>
            <w:r>
              <w:rPr>
                <w:rFonts w:ascii="Arial" w:hAnsi="Arial"/>
                <w:sz w:val="20"/>
              </w:rPr>
              <w:t>Guru membentangkan statistik dan analisis maklum balas</w:t>
            </w:r>
          </w:p>
        </w:tc>
      </w:tr>
      <w:tr>
        <w:tc>
          <w:tcPr>
            <w:tcW w:type="dxa" w:w="4656"/>
          </w:tcPr>
          <w:p>
            <w:r>
              <w:rPr>
                <w:rFonts w:ascii="Arial" w:hAnsi="Arial"/>
                <w:sz w:val="20"/>
              </w:rPr>
              <w:t>Recommendation</w:t>
            </w:r>
          </w:p>
        </w:tc>
        <w:tc>
          <w:tcPr>
            <w:tcW w:type="dxa" w:w="4656"/>
          </w:tcPr>
          <w:p>
            <w:r>
              <w:rPr>
                <w:rFonts w:ascii="Arial" w:hAnsi="Arial"/>
                <w:sz w:val="20"/>
              </w:rPr>
              <w:t>Cadangan konkrit berdasarkan cabaran yang dikenal pasti</w:t>
            </w:r>
          </w:p>
        </w:tc>
      </w:tr>
      <w:tr>
        <w:tc>
          <w:tcPr>
            <w:tcW w:type="dxa" w:w="4656"/>
          </w:tcPr>
          <w:p>
            <w:r>
              <w:rPr>
                <w:rFonts w:ascii="Arial" w:hAnsi="Arial"/>
                <w:sz w:val="20"/>
              </w:rPr>
              <w:t>Action planning</w:t>
            </w:r>
          </w:p>
        </w:tc>
        <w:tc>
          <w:tcPr>
            <w:tcW w:type="dxa" w:w="4656"/>
          </w:tcPr>
          <w:p>
            <w:r>
              <w:rPr>
                <w:rFonts w:ascii="Arial" w:hAnsi="Arial"/>
                <w:sz w:val="20"/>
              </w:rPr>
              <w:t>Tugasan dan tarikh sasaran bagi setiap cadangan</w:t>
            </w:r>
          </w:p>
        </w:tc>
      </w:tr>
    </w:tbl>
    <w:p>
      <w:pPr>
        <w:keepNext/>
      </w:pPr>
      <w:r>
        <w:rPr>
          <w:b/>
          <w:sz w:val="24"/>
        </w:rPr>
        <w:t>4. Prosedur Lengkap Menjalankan Mesyuarat Pasca-Mortem Langkah demi Langkah</w:t>
      </w:r>
    </w:p>
    <w:p>
      <w:r>
        <w:t>(i) Tetapkan tarikh mesyuarat dalam tempoh 1-2 minggu selepas program (sementara ingatan masih segar); (ii) edarkan laporan ringkasan (Bab 2) kepada semua peserta mesyuarat sekurang-kurangnya sehari sebelum mesyuarat untuk dibaca terlebih dahulu; (iii) mulakan mesyuarat dengan pembentangan ringkas laporan (5-10 minit); (iv) buka ruang perbincangan terbuka tentang kekuatan dan cabaran; (v) rumuskan cadangan penambahbaikan konkrit dan pelan tindakan (siapa, apa, bila); (vi) rekodkan minit mesyuarat dan edarkan salinan kepada semua yang hadir dalam tempoh 2-3 hari selepas mesyuarat.</w:t>
      </w:r>
    </w:p>
    <w:p>
      <w:pPr>
        <w:keepNext/>
      </w:pPr>
      <w:r>
        <w:rPr>
          <w:b/>
          <w:sz w:val="24"/>
        </w:rPr>
        <w:t>5. Templat Agenda Mesyuarat Pasca-Mortem</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Masa</w:t>
            </w:r>
          </w:p>
        </w:tc>
        <w:tc>
          <w:tcPr>
            <w:tcW w:type="dxa" w:w="4656"/>
            <w:shd w:val="clear" w:color="auto" w:fill="D9D9D9"/>
          </w:tcPr>
          <w:p>
            <w:r>
              <w:rPr>
                <w:rFonts w:ascii="Arial" w:hAnsi="Arial"/>
                <w:b/>
                <w:sz w:val="20"/>
              </w:rPr>
              <w:t>Perkara</w:t>
            </w:r>
          </w:p>
        </w:tc>
      </w:tr>
      <w:tr>
        <w:tc>
          <w:tcPr>
            <w:tcW w:type="dxa" w:w="4656"/>
          </w:tcPr>
          <w:p>
            <w:r>
              <w:rPr>
                <w:rFonts w:ascii="Arial" w:hAnsi="Arial"/>
                <w:sz w:val="20"/>
              </w:rPr>
              <w:t>5 minit</w:t>
            </w:r>
          </w:p>
        </w:tc>
        <w:tc>
          <w:tcPr>
            <w:tcW w:type="dxa" w:w="4656"/>
          </w:tcPr>
          <w:p>
            <w:r>
              <w:rPr>
                <w:rFonts w:ascii="Arial" w:hAnsi="Arial"/>
                <w:sz w:val="20"/>
              </w:rPr>
              <w:t>Ucapan pembukaan oleh pengetua</w:t>
            </w:r>
          </w:p>
        </w:tc>
      </w:tr>
      <w:tr>
        <w:tc>
          <w:tcPr>
            <w:tcW w:type="dxa" w:w="4656"/>
          </w:tcPr>
          <w:p>
            <w:r>
              <w:rPr>
                <w:rFonts w:ascii="Arial" w:hAnsi="Arial"/>
                <w:sz w:val="20"/>
              </w:rPr>
              <w:t>10 minit</w:t>
            </w:r>
          </w:p>
        </w:tc>
        <w:tc>
          <w:tcPr>
            <w:tcW w:type="dxa" w:w="4656"/>
          </w:tcPr>
          <w:p>
            <w:r>
              <w:rPr>
                <w:rFonts w:ascii="Arial" w:hAnsi="Arial"/>
                <w:sz w:val="20"/>
              </w:rPr>
              <w:t>Pembentangan laporan ringkasan oleh guru penyelaras</w:t>
            </w:r>
          </w:p>
        </w:tc>
      </w:tr>
      <w:tr>
        <w:tc>
          <w:tcPr>
            <w:tcW w:type="dxa" w:w="4656"/>
          </w:tcPr>
          <w:p>
            <w:r>
              <w:rPr>
                <w:rFonts w:ascii="Arial" w:hAnsi="Arial"/>
                <w:sz w:val="20"/>
              </w:rPr>
              <w:t>20 minit</w:t>
            </w:r>
          </w:p>
        </w:tc>
        <w:tc>
          <w:tcPr>
            <w:tcW w:type="dxa" w:w="4656"/>
          </w:tcPr>
          <w:p>
            <w:r>
              <w:rPr>
                <w:rFonts w:ascii="Arial" w:hAnsi="Arial"/>
                <w:sz w:val="20"/>
              </w:rPr>
              <w:t>Perbincangan kekuatan dan cabaran</w:t>
            </w:r>
          </w:p>
        </w:tc>
      </w:tr>
      <w:tr>
        <w:tc>
          <w:tcPr>
            <w:tcW w:type="dxa" w:w="4656"/>
          </w:tcPr>
          <w:p>
            <w:r>
              <w:rPr>
                <w:rFonts w:ascii="Arial" w:hAnsi="Arial"/>
                <w:sz w:val="20"/>
              </w:rPr>
              <w:t>15 minit</w:t>
            </w:r>
          </w:p>
        </w:tc>
        <w:tc>
          <w:tcPr>
            <w:tcW w:type="dxa" w:w="4656"/>
          </w:tcPr>
          <w:p>
            <w:r>
              <w:rPr>
                <w:rFonts w:ascii="Arial" w:hAnsi="Arial"/>
                <w:sz w:val="20"/>
              </w:rPr>
              <w:t>Cadangan penambahbaikan dan pelan tindakan</w:t>
            </w:r>
          </w:p>
        </w:tc>
      </w:tr>
      <w:tr>
        <w:tc>
          <w:tcPr>
            <w:tcW w:type="dxa" w:w="4656"/>
          </w:tcPr>
          <w:p>
            <w:r>
              <w:rPr>
                <w:rFonts w:ascii="Arial" w:hAnsi="Arial"/>
                <w:sz w:val="20"/>
              </w:rPr>
              <w:t>5 minit</w:t>
            </w:r>
          </w:p>
        </w:tc>
        <w:tc>
          <w:tcPr>
            <w:tcW w:type="dxa" w:w="4656"/>
          </w:tcPr>
          <w:p>
            <w:r>
              <w:rPr>
                <w:rFonts w:ascii="Arial" w:hAnsi="Arial"/>
                <w:sz w:val="20"/>
              </w:rPr>
              <w:t>Penutup dan ringkasan tindakan susulan</w:t>
            </w:r>
          </w:p>
        </w:tc>
      </w:tr>
    </w:tbl>
    <w:p>
      <w:pPr>
        <w:keepNext/>
      </w:pPr>
      <w:r>
        <w:rPr>
          <w:b/>
          <w:sz w:val="24"/>
        </w:rPr>
        <w:t>6. Templat Minit Mesyuarat Ringkas (Minit Tindakan)</w:t>
      </w:r>
    </w:p>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Bil</w:t>
            </w:r>
          </w:p>
        </w:tc>
        <w:tc>
          <w:tcPr>
            <w:tcW w:type="dxa" w:w="1863"/>
            <w:shd w:val="clear" w:color="auto" w:fill="D9D9D9"/>
          </w:tcPr>
          <w:p>
            <w:r>
              <w:rPr>
                <w:rFonts w:ascii="Arial" w:hAnsi="Arial"/>
                <w:b/>
                <w:sz w:val="20"/>
              </w:rPr>
              <w:t>Isu/Cabaran</w:t>
            </w:r>
          </w:p>
        </w:tc>
        <w:tc>
          <w:tcPr>
            <w:tcW w:type="dxa" w:w="1863"/>
            <w:shd w:val="clear" w:color="auto" w:fill="D9D9D9"/>
          </w:tcPr>
          <w:p>
            <w:r>
              <w:rPr>
                <w:rFonts w:ascii="Arial" w:hAnsi="Arial"/>
                <w:b/>
                <w:sz w:val="20"/>
              </w:rPr>
              <w:t>Cadangan Penambahbaikan</w:t>
            </w:r>
          </w:p>
        </w:tc>
        <w:tc>
          <w:tcPr>
            <w:tcW w:type="dxa" w:w="1863"/>
            <w:shd w:val="clear" w:color="auto" w:fill="D9D9D9"/>
          </w:tcPr>
          <w:p>
            <w:r>
              <w:rPr>
                <w:rFonts w:ascii="Arial" w:hAnsi="Arial"/>
                <w:b/>
                <w:sz w:val="20"/>
              </w:rPr>
              <w:t>Tindakan Oleh</w:t>
            </w:r>
          </w:p>
        </w:tc>
        <w:tc>
          <w:tcPr>
            <w:tcW w:type="dxa" w:w="1863"/>
            <w:shd w:val="clear" w:color="auto" w:fill="D9D9D9"/>
          </w:tcPr>
          <w:p>
            <w:r>
              <w:rPr>
                <w:rFonts w:ascii="Arial" w:hAnsi="Arial"/>
                <w:b/>
                <w:sz w:val="20"/>
              </w:rPr>
              <w:t>Tarikh Sasaran</w:t>
            </w:r>
          </w:p>
        </w:tc>
      </w:tr>
      <w:tr>
        <w:tc>
          <w:tcPr>
            <w:tcW w:type="dxa" w:w="1863"/>
          </w:tcPr>
          <w:p>
            <w:r>
              <w:rPr>
                <w:rFonts w:ascii="Arial" w:hAnsi="Arial"/>
                <w:sz w:val="20"/>
              </w:rPr>
              <w:t>1</w:t>
            </w:r>
          </w:p>
        </w:tc>
        <w:tc>
          <w:tcPr>
            <w:tcW w:type="dxa" w:w="1863"/>
          </w:tcPr>
          <w:p>
            <w:r>
              <w:rPr>
                <w:rFonts w:ascii="Arial" w:hAnsi="Arial"/>
                <w:sz w:val="20"/>
              </w:rPr>
              <w:t>⟪contoh: notis dihantar terlalu lewat⟫</w:t>
            </w:r>
          </w:p>
        </w:tc>
        <w:tc>
          <w:tcPr>
            <w:tcW w:type="dxa" w:w="1863"/>
          </w:tcPr>
          <w:p>
            <w:r>
              <w:rPr>
                <w:rFonts w:ascii="Arial" w:hAnsi="Arial"/>
                <w:sz w:val="20"/>
              </w:rPr>
              <w:t>⟪tetapkan tempoh notis minimum 2 minggu⟫</w:t>
            </w:r>
          </w:p>
        </w:tc>
        <w:tc>
          <w:tcPr>
            <w:tcW w:type="dxa" w:w="1863"/>
          </w:tcPr>
          <w:p>
            <w:r>
              <w:rPr>
                <w:rFonts w:ascii="Arial" w:hAnsi="Arial"/>
                <w:sz w:val="20"/>
              </w:rPr>
              <w:t>⟪nama guru⟫</w:t>
            </w:r>
          </w:p>
        </w:tc>
        <w:tc>
          <w:tcPr>
            <w:tcW w:type="dxa" w:w="1863"/>
          </w:tcPr>
          <w:p>
            <w:r>
              <w:rPr>
                <w:rFonts w:ascii="Arial" w:hAnsi="Arial"/>
                <w:sz w:val="20"/>
              </w:rPr>
              <w:t>⟪__⟫</w:t>
            </w:r>
          </w:p>
        </w:tc>
      </w:tr>
      <w:tr>
        <w:tc>
          <w:tcPr>
            <w:tcW w:type="dxa" w:w="1863"/>
          </w:tcPr>
          <w:p>
            <w:r>
              <w:rPr>
                <w:rFonts w:ascii="Arial" w:hAnsi="Arial"/>
                <w:sz w:val="20"/>
              </w:rPr>
              <w:t>2</w:t>
            </w:r>
          </w:p>
        </w:tc>
        <w:tc>
          <w:tcPr>
            <w:tcW w:type="dxa" w:w="1863"/>
          </w:tcPr>
          <w:p>
            <w:r>
              <w:rPr>
                <w:rFonts w:ascii="Arial" w:hAnsi="Arial"/>
                <w:sz w:val="20"/>
              </w:rPr>
              <w:t>⟪__⟫</w:t>
            </w:r>
          </w:p>
        </w:tc>
        <w:tc>
          <w:tcPr>
            <w:tcW w:type="dxa" w:w="1863"/>
          </w:tcPr>
          <w:p>
            <w:r>
              <w:rPr>
                <w:rFonts w:ascii="Arial" w:hAnsi="Arial"/>
                <w:sz w:val="20"/>
              </w:rPr>
              <w:t>⟪__⟫</w:t>
            </w:r>
          </w:p>
        </w:tc>
        <w:tc>
          <w:tcPr>
            <w:tcW w:type="dxa" w:w="1863"/>
          </w:tcPr>
          <w:p>
            <w:r>
              <w:rPr>
                <w:rFonts w:ascii="Arial" w:hAnsi="Arial"/>
                <w:sz w:val="20"/>
              </w:rPr>
              <w:t>⟪__⟫</w:t>
            </w:r>
          </w:p>
        </w:tc>
        <w:tc>
          <w:tcPr>
            <w:tcW w:type="dxa" w:w="1863"/>
          </w:tcPr>
          <w:p>
            <w:r>
              <w:rPr>
                <w:rFonts w:ascii="Arial" w:hAnsi="Arial"/>
                <w:sz w:val="20"/>
              </w:rPr>
              <w:t>⟪__⟫</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 Mesyuarat Pasca-Mortem Tanpa Tindak Lanjut</w:t>
            </w:r>
          </w:p>
          <w:p>
            <w:r>
              <w:rPr>
                <w:rFonts w:ascii="Arial" w:hAnsi="Arial"/>
                <w:sz w:val="22"/>
              </w:rPr>
              <w:t>Sebuah tadika mengadakan mesyuarat pasca-mortem selepas setiap program, tetapi cadangan yang dibincangkan tidak pernah direkodkan secara bertulis atau disemak pada program seterusnya — akibatnya, isu yang sama (contoh: kekurangan tempat letak kereta semasa Hari Terbuka) berulang setiap tahun tanpa penambahbaikan. Selepas menyedari corak ini, tadika mula menggunakan templat minit tindakan (rujuk di atas) yang disemak semula pada permulaan setiap perancangan program baharu, memastikan cadangan lampau benar-benar dilaksanakan, bukan sekadar dibincangkan sahaja.</w:t>
            </w:r>
          </w:p>
        </w:tc>
      </w:tr>
    </w:tbl>
    <w:p>
      <w:pPr>
        <w:keepNext/>
      </w:pPr>
      <w:r>
        <w:rPr>
          <w:b/>
          <w:sz w:val="24"/>
        </w:rPr>
        <w:t>8. Kesilapan Lazim dan Cara Mengelak</w:t>
      </w:r>
    </w:p>
    <w:p>
      <w:r>
        <w:t>Kesilapan lazim ialah mesyuarat pasca-mortem bertukar menjadi sesi menyalahkan individu tertentu berbanding fokus kepada penambahbaikan sistem. Kesilapan lain ialah cadangan yang dibincangkan tidak diberikan tarikh sasaran atau nama bertanggungjawab, menyebabkan ia tidak pernah dilaksanakan. Cara mengelak: pengerusi mesyuarat perlu sentiasa mengarahkan perbincangan kepada "apa yang boleh diperbaiki" bukan "siapa yang bersalah", dan setiap cadangan mesti direkodkan dengan nama dan tarikh sasaran yang jelas dalam minit tindakan.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Senarai Semak — Mesyuarat Pasca-Mortem</w:t>
            </w:r>
          </w:p>
          <w:p/>
          <w:p>
            <w:r>
              <w:rPr>
                <w:rFonts w:ascii="Arial" w:hAnsi="Arial"/>
                <w:sz w:val="22"/>
              </w:rPr>
              <w:t>• [ ] Mesyuarat diadakan dalam tempoh 1-2 minggu selepas program.</w:t>
            </w:r>
          </w:p>
          <w:p/>
          <w:p>
            <w:r>
              <w:rPr>
                <w:rFonts w:ascii="Arial" w:hAnsi="Arial"/>
                <w:sz w:val="22"/>
              </w:rPr>
              <w:t>• [ ] Laporan ringkasan diedarkan sebelum mesyuarat untuk dibaca dahulu.</w:t>
            </w:r>
          </w:p>
          <w:p/>
          <w:p>
            <w:r>
              <w:rPr>
                <w:rFonts w:ascii="Arial" w:hAnsi="Arial"/>
                <w:sz w:val="22"/>
              </w:rPr>
              <w:t>• [ ] Perbincangan fokus kepada penambahbaikan, bukan menyalahkan individu.</w:t>
            </w:r>
          </w:p>
          <w:p/>
          <w:p>
            <w:r>
              <w:rPr>
                <w:rFonts w:ascii="Arial" w:hAnsi="Arial"/>
                <w:sz w:val="22"/>
              </w:rPr>
              <w:t>• [ ] Setiap cadangan direkodkan dengan nama bertanggungjawab dan tarikh sasaran.</w:t>
            </w:r>
          </w:p>
          <w:p/>
          <w:p>
            <w:r>
              <w:rPr>
                <w:rFonts w:ascii="Arial" w:hAnsi="Arial"/>
                <w:sz w:val="22"/>
              </w:rPr>
              <w:t>• [ ] Minit mesyuarat diedarkan kepada semua peserta selepas mesyuarat.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Sediakan minit tindakan ringkas (guna templat di atas) bagi dua cabaran yang dikenal pasti daripada laporan Hari Sukan Prasekolah (rujuk Aktiviti Pengukuhan Bab 2).</w:t>
            </w:r>
          </w:p>
          <w:p/>
          <w:p>
            <w:r>
              <w:rPr>
                <w:rFonts w:ascii="Arial" w:hAnsi="Arial"/>
                <w:sz w:val="22"/>
              </w:rPr>
              <w:t>• Dalam kumpulan kecil, jalankan simulasi ringkas mesyuarat pasca-mortem (10 minit) menggunakan agenda templat di atas.</w:t>
            </w:r>
          </w:p>
        </w:tc>
      </w:tr>
    </w:tbl>
    <w:p>
      <w:pPr>
        <w:keepNext/>
      </w:pPr>
      <w:r>
        <w:rPr>
          <w:b/>
          <w:sz w:val="24"/>
        </w:rPr>
        <w:t>12. Menyemak Semula Tindakan Lampau pada Mesyuarat Akan Datang</w:t>
      </w:r>
    </w:p>
    <w:p>
      <w:r>
        <w:t>Amalan baik ialah memulakan setiap mesyuarat pasca-mortem dengan menyemak semula status tindakan yang dipersetujui pada mesyuarat sebelumnya — adakah tindakan tersebut telah dilaksanakan, dan jika belum, apakah halangannya. Langkah ini memastikan minit tindakan bukan sekadar dokumen yang disimpan tanpa tindak lanjut, tetapi benar-benar menjadi rujukan aktif yang mendorong penambahbaikan berterusan merentasi pelbagai program yang dijalankan sepanjang tahun.</w:t>
      </w:r>
    </w:p>
    <w:p>
      <w:pPr>
        <w:keepNext/>
      </w:pPr>
      <w:r>
        <w:rPr>
          <w:b/>
          <w:sz w:val="24"/>
        </w:rPr>
        <w:t>13. Melibatkan Wakil PIBG dalam Mesyuarat Pasca-Mortem</w:t>
      </w:r>
    </w:p>
    <w:p>
      <w:r>
        <w:t>Bagi program berskala besar yang melibatkan penyertaan meluas ibu bapa, tadika boleh menjemput wakil PIBG untuk turut hadir dalam mesyuarat pasca-mortem, bukan hanya guru dan pengetua. Kehadiran wakil PIBG membawa perspektif tambahan daripada sudut pandang ibu bapa yang mungkin tidak ditangkap sepenuhnya melalui borang maklum balas sahaja, dan turut mengukuhkan hubungan kerjasama antara tadika dan PIBG selaras dengan semangat penglibatan komuniti yang dibincangkan sepanjang keseluruhan CU ini.</w:t>
      </w:r>
    </w:p>
    <w:p>
      <w:pPr>
        <w:keepNext/>
      </w:pPr>
      <w:r>
        <w:rPr>
          <w:b/>
          <w:sz w:val="24"/>
        </w:rPr>
        <w:t>15. Perbezaan Mesyuarat Pasca-Mortem dan Hot Debrief</w:t>
      </w:r>
    </w:p>
    <w:p>
      <w:r>
        <w:t>Seperti yang dinyatakan dalam C05-W01.md Bab 5 (item 14), *hot debrief* dijalankan serta-merta selepas program tamat untuk menangkap isu semasa ia masih segar, manakala mesyuarat pasca-mortem formal dijalankan beberapa hari kemudian dengan laporan bertulis lengkap sebagai asas perbincangan yang lebih mendalam dan terstruktur. Kedua-dua bentuk penilaian ini saling melengkapi — *hot debrief* menangkap reaksi segera, manakala mesyuarat pasca-mortem membolehkan analisis yang lebih objektif selepas data maklum balas (Bab 1) turut disertakan dalam perbincangan.</w:t>
      </w:r>
    </w:p>
    <w:p>
      <w:pPr>
        <w:keepNext/>
      </w:pPr>
      <w:r>
        <w:rPr>
          <w:b/>
          <w:sz w:val="24"/>
        </w:rPr>
        <w:t>16. Mengukur Kejayaan Mesyuarat Pasca-Mortem Itu Sendiri</w:t>
      </w:r>
    </w:p>
    <w:p>
      <w:r>
        <w:t>Selain menilai kejayaan program yang dibincangkan, tadika turut boleh menilai keberkesanan mesyuarat pasca-mortem itu sendiri dari semasa ke semasa — adakah cadangan yang dibincangkan benar-benar dilaksanakan pada program seterusnya (rujuk item 12 di atas), dan adakah bilangan isu berulang semakin berkurangan dari tahun ke tahun. Penilaian meta ini membantu tadika memastikan mesyuarat pasca-mortem kekal sebagai alat penambahbaikan berkesan, bukan sekadar rutin formaliti tanpa impak sebenar terhadap kualiti program akan datang.</w:t>
      </w:r>
    </w:p>
    <w:p>
      <w:pPr>
        <w:keepNext/>
      </w:pPr>
      <w:r>
        <w:rPr>
          <w:b/>
          <w:sz w:val="24"/>
        </w:rPr>
        <w:t>18. Peranan Pengerusi Mesyuarat dalam Mengekalkan Fokus</w:t>
      </w:r>
    </w:p>
    <w:p>
      <w:r>
        <w:t>Pengerusi mesyuarat (biasanya pengetua atau guru kanan) memainkan peranan penting mengekalkan perbincangan kekal fokus dan produktif dalam tempoh masa yang diperuntukkan. Ini termasuk mengelakkan perbincangan melencong kepada isu tidak berkaitan, memastikan semua peserta mesyuarat berpeluang menyuarakan pandangan (bukan hanya didominasi seorang atau dua individu), dan merumuskan keputusan secara jelas pada penghujung setiap topik perbincangan sebelum beralih ke topik seterusnya, selaras dengan agenda yang telah ditetapkan.</w:t>
      </w:r>
    </w:p>
    <w:p>
      <w:pPr>
        <w:keepNext/>
      </w:pPr>
      <w:r>
        <w:rPr>
          <w:b/>
          <w:sz w:val="24"/>
        </w:rPr>
        <w:t>19. Menyambungkan Mesyuarat Pasca-Mortem ke Kitaran Perancangan Seterusnya</w:t>
      </w:r>
    </w:p>
    <w:p>
      <w:r>
        <w:t>Cadangan dan pelan tindakan yang dipersetujui dalam mesyuarat pasca-mortem perlu menjadi input langsung kepada peringkat penetapan matlamat SMART bagi program serupa akan datang (rujuk C05-W01.md Bab 2). Contohnya, jika mesyuarat merumuskan bahawa "notis perlu dihantar dua minggu lebih awal", matlamat SMART bagi program seterusnya perlu menyatakan tarikh komunikasi awal secara eksplisit sebagai sebahagian daripada pelan pelaksanaan, bukan sekadar diingati secara lisan oleh guru yang terlibat.</w:t>
      </w:r>
    </w:p>
    <w:p>
      <w:pPr>
        <w:keepNext/>
      </w:pPr>
      <w:r>
        <w:rPr>
          <w:b/>
          <w:sz w:val="24"/>
        </w:rPr>
        <w:t>21. Kesimpulan Keseluruhan CU C05</w:t>
      </w:r>
    </w:p>
    <w:p>
      <w:r>
        <w:t>Ketiga-tiga Work Activity di bawah CU "Handle Parental-Community Activities" — merancang dan melaksanakan aktiviti (C05-W01.md), menjalin hubungan dengan keluarga dan komuniti (C05-W02.md), dan menyediakan laporan aktiviti (nota ini) — membentuk satu kitaran lengkap pengurusan program ibu bapa-komuniti prasekolah, bermula daripada teori dan perancangan, melalui pelaksanaan dan komunikasi, dan berakhir dengan penilaian serta penambahbaikan berterusan melalui mesyuarat pasca-mortem sebelum kitaran ini bermula semula untuk program akan datang dengan tahap kematangan pengurusan yang lebih tinggi.</w:t>
      </w:r>
    </w:p>
    <w:p>
      <w:pPr>
        <w:keepNext/>
      </w:pPr>
      <w:r>
        <w:rPr>
          <w:b/>
          <w:sz w:val="24"/>
        </w:rPr>
        <w:t>22. Ringkasan Amalan Terbaik Bab 3</w:t>
      </w:r>
    </w:p>
    <w:p>
      <w:r>
        <w:t>Tiga amalan terbaik menjalankan mesyuarat pasca-mortem ialah: (i) adakan mesyuarat dalam tempoh 1-2 minggu selepas program, dengan laporan diedarkan terlebih dahulu; (ii) kekalkan fokus perbincangan kepada penambahbaikan sistem, bukan menyalahkan individu; dan (iii) rekod setiap cadangan sebagai minit tindakan dengan nama bertanggungjawab dan tarikh sasaran, serta semak semula status tindakan tersebut pada mesyuarat akan datang.</w:t>
      </w:r>
    </w:p>
    <w:p>
      <w:pPr>
        <w:keepNext/>
      </w:pPr>
      <w:r>
        <w:rPr>
          <w:b/>
          <w:sz w:val="24"/>
        </w:rPr>
        <w:t>24. Mengendalikan Perselisihan Pendapat Semasa Mesyuarat</w:t>
      </w:r>
    </w:p>
    <w:p>
      <w:r>
        <w:t>Kadangkala guru yang terlibat mungkin mempunyai pandangan berbeza tentang punca sesuatu cabaran (contoh: seorang guru menganggap kekurangan tenaga menjadi punca, guru lain menganggap komunikasi lewat menjadi punca utama). Pengerusi mesyuarat perlu mengendalikan perselisihan pendapat ini secara profesional — membenarkan kedua-dua pandangan dibincangkan, merujuk semula kepada data laporan (Bab 2) sebagai bukti objektif, dan merumuskan cadangan yang mengambil kira kedua-dua faktor jika berkaitan, berbanding memilih satu pandangan secara sewenang-wenangnya tanpa asas data yang jelas.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26. Kajian Kes Tambahan: Mesyuarat Pasca-Mortem Membawa kepada Perubahan Dasar Tadika</w:t>
            </w:r>
          </w:p>
          <w:p>
            <w:r>
              <w:rPr>
                <w:rFonts w:ascii="Arial" w:hAnsi="Arial"/>
                <w:sz w:val="22"/>
              </w:rPr>
              <w:t>Selepas beberapa mesyuarat pasca-mortem berturut-turut mengenal pasti isu yang sama — komunikasi program sering dihantar kurang daripada seminggu sebelum tarikh pelaksanaan — pihak pengurusan sebuah tadika akhirnya memperkenalkan dasar rasmi baharu: setiap proposal program mesti diserahkan sekurang-kurangnya tiga minggu sebelum tarikh pelaksanaan, memberi ruang mencukupi untuk komunikasi awal kepada ibu bapa. Contoh ini menunjukkan bagaimana perbincangan berulang dalam mesyuarat pasca-mortem, jika direkod dan disemak dengan konsisten, boleh membawa kepada perubahan dasar berstruktur di peringkat tadika, bukan sekadar penyelesaian ad-hoc bagi setiap program secara berasingan.</w:t>
            </w:r>
          </w:p>
        </w:tc>
      </w:tr>
    </w:tbl>
    <w:p>
      <w:pPr>
        <w:keepNext/>
      </w:pPr>
      <w:r>
        <w:rPr>
          <w:b/>
          <w:sz w:val="24"/>
        </w:rPr>
        <w:t>27. Menghubungkaitkan Semula Ketiga-Tiga Bab dalam Satu Kitaran</w:t>
      </w:r>
    </w:p>
    <w:p>
      <w:r>
        <w:t>Sebagai penutup, ketiga-tiga Bab dalam nota ini — mengumpul maklum balas (Bab 1), menyediakan laporan (Bab 2), dan menjalankan mesyuarat pasca-mortem (Bab 3) — bukan proses berasingan, tetapi satu aliran kerja berterusan: data maklum balas menjadi bahan mentah laporan, laporan menjadi asas perbincangan mesyuarat, dan keputusan mesyuarat menjadi input kepada perancangan program akan datang (kembali ke C05-W01.md Bab 2 dan 3). Penguasaan Bakat terhadap keseluruhan aliran ini menandakan kesediaan sepenuhnya untuk melaksanakan CU "Handle Parental-Community Activities" secara menyeluruh dan profesional.</w:t>
      </w:r>
    </w:p>
    <w:p>
      <w:pPr>
        <w:keepNext/>
      </w:pPr>
      <w:r>
        <w:rPr>
          <w:b/>
          <w:sz w:val="24"/>
        </w:rPr>
        <w:t>29. Penutup Keseluruhan Nota Pembelajaran W03</w:t>
      </w:r>
    </w:p>
    <w:p>
      <w:r>
        <w:t>Dengan menguasai ketiga-tiga Bab dalam nota ini — mengumpul maklum balas, menyediakan laporan, dan menjalankan mesyuarat pasca-mortem — Bakat telah lengkap menguasai keseluruhan CU "Handle Parental-Community Activities" (P851-002-4:2025-C05), daripada peringkat teori dan perancangan (W01), pelaksanaan dan hubungan komuniti (W02), hingga penilaian dan penambahbaikan berterusan (W03). Kompetensi menyeluruh ini menjadikan Bakat bersedia untuk merancang, melaksana dan melaporkan aktiviti ibu bapa-komuniti secara profesional di tadika sebenar.</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31. Aktiviti Pengukuhan Tambahan</w:t>
            </w:r>
          </w:p>
          <w:p/>
          <w:p>
            <w:r>
              <w:rPr>
                <w:rFonts w:ascii="Arial" w:hAnsi="Arial"/>
                <w:sz w:val="22"/>
              </w:rPr>
              <w:t>• Bincangkan dalam kumpulan bagaimana pengerusi mesyuarat boleh mengekalkan perbincangan pasca-mortem kekal produktif apabila dua guru mempunyai pandangan berbeza tentang punca sesuatu cabaran.</w:t>
            </w:r>
          </w:p>
        </w:tc>
      </w:tr>
    </w:tbl>
    <w:p>
      <w:pPr>
        <w:keepNext/>
      </w:pPr>
      <w:r>
        <w:rPr>
          <w:b/>
          <w:sz w:val="24"/>
        </w:rPr>
        <w:t>33. Nota Akhir untuk Bakat</w:t>
      </w:r>
    </w:p>
    <w:p>
      <w:r>
        <w:t>Sebagai penutup keseluruhan nota, imbas kembali ketiga-tiga Bab (maklum balas, laporan, mesyuarat) dan pastikan Bakat dapat menerangkan bagaimana setiap Bab menyambung kepada Bab seterusnya dalam satu aliran kerja yang koheren — kefahaman menyeluruh ini adalah bukti kesediaan Bakat untuk menyediakan laporan aktiviti ibu bapa-komuniti secara kompeten di tadika sebenar.</w:t>
      </w:r>
    </w:p>
    <w:p>
      <w:pPr>
        <w:keepNext/>
      </w:pPr>
      <w:r>
        <w:rPr>
          <w:b/>
          <w:sz w:val="24"/>
        </w:rPr>
        <w:t>34. Refleksi Tambahan: Kitaran Penambahbaikan Berterusan</w:t>
      </w:r>
    </w:p>
    <w:p>
      <w:r>
        <w:t>Mesyuarat pasca-mortem bukan garis penamat kepada sesuatu program, tetapi titik permulaan kepada kitaran penambahbaikan program yang seterusnya — setiap cadangan yang dipersetujui hari ini menjadi asas kejayaan program akan datang. Guru yang menghayati semangat penambahbaikan berterusan ini, berbanding melihat mesyuarat pasca-mortem sekadar formaliti, akan melihat peningkatan kualiti program ibu bapa-komuniti tadika mereka secara konsisten dari tahun ke tahun.</w:t>
      </w:r>
    </w:p>
    <w:p>
      <w:pPr>
        <w:keepNext/>
      </w:pPr>
      <w:r>
        <w:rPr>
          <w:b/>
          <w:sz w:val="24"/>
        </w:rPr>
        <w:t>36. Sumbangan Bab Ini kepada Keseluruhan CU</w:t>
      </w:r>
    </w:p>
    <w:p>
      <w:r>
        <w:t>Mesyuarat pasca-mortem menutup keseluruhan kitaran CU "Handle Parental-Community Activities" — cadangan dan pelan tindakan yang dirumuskan di sini menjadi input langsung kepada penetapan matlamat SMART, proposal dan risk assessment bagi program akan datang (C05-W01.md), memastikan setiap program yang dianjurkan tadika sentiasa lebih baik daripada program sebelumnya melalui proses penambahbaikan berterusan yang berasaskan data dan refleksi sebenar.</w:t>
      </w:r>
    </w:p>
    <w:p>
      <w:pPr>
        <w:keepNext/>
      </w:pPr>
      <w:r>
        <w:rPr>
          <w:b/>
          <w:sz w:val="24"/>
        </w:rPr>
        <w:t>38. Penutup Bab 3 dan Keseluruhan Nota</w:t>
      </w:r>
    </w:p>
    <w:p>
      <w:r>
        <w:t>Dengan ini tamatlah Nota Pembelajaran C05-W03 sepenuhnya. Bakat telah menguasai keseluruhan proses menyediakan laporan aktiviti ibu bapa-komuniti — daripada mengumpul maklum balas, menulis laporan yang jujur dan lengkap, hingga menjalankan mesyuarat pasca-mortem yang produktif — melengkapkan penguasaan Bakat terhadap keseluruhan Competency Unit "Handle Parental-Community Activities" (P851-002-4:2025-C05).</w:t>
      </w:r>
    </w:p>
    <w:p>
      <w:pPr>
        <w:keepNext/>
      </w:pPr>
      <w:r>
        <w:rPr>
          <w:b/>
          <w:sz w:val="24"/>
        </w:rPr>
        <w:t>40. Rujukan Silang Akhir dan Penutup CU</w:t>
      </w:r>
    </w:p>
    <w:p>
      <w:r>
        <w:t>Sebagai penutup keseluruhan CU C05, Bakat digalakkan membuat refleksi menyeluruh merentasi ketiga-tiga Nota Pembelajaran (C05-W01.md, C05-W02.md, dan nota ini) — bagaimana teori penglibatan ibu bapa-komuniti, kemahiran menjalin hubungan, dan proses pelaporan/penilaian saling berkait membentuk satu kompetensi menyeluruh yang diperlukan seorang guru prasekolah profesional dalam mengendalikan aktiviti ibu bapa-komuniti di tadika.</w:t>
      </w:r>
    </w:p>
    <w:p>
      <w:pPr>
        <w:keepNext/>
      </w:pPr>
      <w:r>
        <w:rPr>
          <w:b/>
          <w:sz w:val="24"/>
        </w:rPr>
        <w:t>42. Penegasan Akhir</w:t>
      </w:r>
    </w:p>
    <w:p>
      <w:r>
        <w:t>Sebagai penegasan akhir keseluruhan Nota Pembelajaran C05-W03, ingatlah bahawa mesyuarat pasca-mortem yang berkesan bukan diukur daripada berapa lama ia berlangsung atau berapa banyak isu dibincangkan, tetapi daripada berapa banyak cadangan yang benar-benar dilaksanakan pada program seterusnya — kejayaan sebenar terletak pada tindakan, bukan pada perbincangan semata-mata.</w:t>
      </w:r>
    </w:p>
    <w:p>
      <w:pPr>
        <w:keepNext/>
      </w:pPr>
      <w:r>
        <w:rPr>
          <w:b/>
          <w:sz w:val="24"/>
        </w:rPr>
        <w:t>44. Ringkasan Sesi Persoalan yang Boleh Dijangka</w:t>
      </w:r>
    </w:p>
    <w:p>
      <w:r>
        <w:t>Bakat digalakkan bersedia menjawab persoalan seperti "jelaskan tujuan mesyuarat pasca-mortem selepas sesuatu program" — jawapan lengkap perlu menyebut pembentangan laporan, perbincangan kekuatan/cabaran, serta cadangan penambahbaikan dan pelan tindakan, selaras dengan format Soalan 3 dalam Sesi Persoalan di bawah.</w:t>
      </w:r>
    </w:p>
    <w:p>
      <w:pPr>
        <w:keepNext/>
      </w:pPr>
      <w:r>
        <w:rPr>
          <w:b/>
          <w:sz w:val="24"/>
        </w:rPr>
        <w:t>46. Semakan Kefahaman Akhir Keseluruhan Nota</w:t>
      </w:r>
    </w:p>
    <w:p>
      <w:r>
        <w:t>Sebagai semakan akhir, Bakat perlu dapat menerangkan aliran lengkap: bagaimana maklum balas (Bab 1) menjadi asas laporan (Bab 2), dan bagaimana laporan itu menjadi asas perbincangan mesyuarat pasca-mortem (Bab 3) yang akhirnya menghasilkan cadangan untuk program akan datang. Jika Bakat mampu menerangkan aliran ini dengan yakin, Bakat telah menguasai sepenuhnya Nota Pembelajaran C05-W03.</w:t>
      </w:r>
    </w:p>
    <w:p>
      <w:pPr>
        <w:keepNext/>
      </w:pPr>
      <w:r>
        <w:rPr>
          <w:b/>
          <w:sz w:val="24"/>
        </w:rPr>
        <w:t>48. Penutup Akhir</w:t>
      </w:r>
    </w:p>
    <w:p>
      <w:r>
        <w:t>Dengan ini, Nota Pembelajaran C05-W03 dan keseluruhan Competency Unit "Handle Parental-Community Activities" selesai dipelajari sepenuhnya. Tahniah kepada Bakat atas penguasaan menyeluruh terhadap CU ini.</w:t>
      </w:r>
    </w:p>
    <w:p>
      <w:pPr>
        <w:keepNext/>
      </w:pPr>
      <w:r>
        <w:rPr>
          <w:b/>
          <w:sz w:val="24"/>
        </w:rPr>
        <w:t>50. Rujukan Silang untuk Latihan Skema Jawapan</w:t>
      </w:r>
    </w:p>
    <w:p>
      <w:r>
        <w:t>Item "3. Recommendation for Future Improvements dan Action Planning" di atas dalam Bab ini menjadi sumber jawapan rujukan bagi soalan penilaian pengetahuan CU C05 (rujuk 07-soalan-penilaian-pengetahuan/C05.md, sub-soalan d) — pastikan istilah "recommendation" dan "action planning" dikekalkan sepenuhnya dalam sebarang rujukan semula kepada Bab ini.</w:t>
      </w:r>
    </w:p>
    <w:p>
      <w:pPr>
        <w:keepNext/>
      </w:pPr>
      <w:r>
        <w:rPr>
          <w:b/>
          <w:sz w:val="24"/>
        </w:rPr>
        <w:t>52. Penutup Mutlak Bab 3 dan Nota</w:t>
      </w:r>
    </w:p>
    <w:p>
      <w:r>
        <w:t>Bab 3 dan keseluruhan Nota Pembelajaran C05-W03 kini benar-benar lengkap. Tahniah, Bakat telah menamatkan CU "Handle Parental-Community Activities" sepenuhnya.</w:t>
      </w:r>
    </w:p>
    <w:p>
      <w:pPr>
        <w:keepNext/>
      </w:pPr>
      <w:r>
        <w:rPr>
          <w:b/>
          <w:sz w:val="24"/>
        </w:rPr>
        <w:t>54. Nota Penutup Akhir Sekali</w:t>
      </w:r>
    </w:p>
    <w:p>
      <w:r>
        <w:t>Setiap mesyuarat pasca-mortem yang dijalankan dengan bersungguh-sungguh hari ini adalah pelaburan kepada kejayaan murid, ibu bapa dan komuniti yang akan dilayani oleh program tadika pada masa hadapan.</w:t>
      </w:r>
    </w:p>
    <w:p>
      <w:pPr>
        <w:keepNext/>
      </w:pPr>
      <w:r>
        <w:rPr>
          <w:b/>
          <w:sz w:val="24"/>
        </w:rPr>
        <w:t>56. Titik Akhir Bab 3</w:t>
      </w:r>
    </w:p>
    <w:p>
      <w:r>
        <w:t>Tamat.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57. Rumusan</w:t>
            </w:r>
          </w:p>
          <w:p>
            <w:r>
              <w:rPr>
                <w:rFonts w:ascii="Arial" w:hAnsi="Arial"/>
                <w:sz w:val="22"/>
              </w:rPr>
              <w:t>Mesyuarat pasca-mortem yang teratur — merangkumi protokol, pembentangan laporan, cadangan dan pelan tindakan — memastikan pengajaran daripada setiap program ibu bapa-komuniti diambil kira untuk penambahbaikan berterusan di tadika.</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w:t>
            </w:r>
          </w:p>
        </w:tc>
        <w:tc>
          <w:tcPr>
            <w:tcW w:type="dxa" w:w="4656"/>
            <w:shd w:val="clear" w:color="auto" w:fill="D9D9D9"/>
          </w:tcPr>
          <w:p>
            <w:r>
              <w:rPr>
                <w:rFonts w:ascii="Arial" w:hAnsi="Arial"/>
                <w:b/>
                <w:sz w:val="20"/>
              </w:rPr>
              <w:t>Istilah (BM)</w:t>
            </w:r>
          </w:p>
        </w:tc>
      </w:tr>
      <w:tr>
        <w:tc>
          <w:tcPr>
            <w:tcW w:type="dxa" w:w="4656"/>
          </w:tcPr>
          <w:p>
            <w:r>
              <w:rPr>
                <w:rFonts w:ascii="Arial" w:hAnsi="Arial"/>
                <w:sz w:val="20"/>
              </w:rPr>
              <w:t>Feedback</w:t>
            </w:r>
          </w:p>
        </w:tc>
        <w:tc>
          <w:tcPr>
            <w:tcW w:type="dxa" w:w="4656"/>
          </w:tcPr>
          <w:p>
            <w:r>
              <w:rPr>
                <w:rFonts w:ascii="Arial" w:hAnsi="Arial"/>
                <w:sz w:val="20"/>
              </w:rPr>
              <w:t>Maklum balas</w:t>
            </w:r>
          </w:p>
        </w:tc>
      </w:tr>
      <w:tr>
        <w:tc>
          <w:tcPr>
            <w:tcW w:type="dxa" w:w="4656"/>
          </w:tcPr>
          <w:p>
            <w:r>
              <w:rPr>
                <w:rFonts w:ascii="Arial" w:hAnsi="Arial"/>
                <w:sz w:val="20"/>
              </w:rPr>
              <w:t>Feedback Instrument</w:t>
            </w:r>
          </w:p>
        </w:tc>
        <w:tc>
          <w:tcPr>
            <w:tcW w:type="dxa" w:w="4656"/>
          </w:tcPr>
          <w:p>
            <w:r>
              <w:rPr>
                <w:rFonts w:ascii="Arial" w:hAnsi="Arial"/>
                <w:sz w:val="20"/>
              </w:rPr>
              <w:t>Instrumen maklum balas</w:t>
            </w:r>
          </w:p>
        </w:tc>
      </w:tr>
      <w:tr>
        <w:tc>
          <w:tcPr>
            <w:tcW w:type="dxa" w:w="4656"/>
          </w:tcPr>
          <w:p>
            <w:r>
              <w:rPr>
                <w:rFonts w:ascii="Arial" w:hAnsi="Arial"/>
                <w:sz w:val="20"/>
              </w:rPr>
              <w:t>Response Rate</w:t>
            </w:r>
          </w:p>
        </w:tc>
        <w:tc>
          <w:tcPr>
            <w:tcW w:type="dxa" w:w="4656"/>
          </w:tcPr>
          <w:p>
            <w:r>
              <w:rPr>
                <w:rFonts w:ascii="Arial" w:hAnsi="Arial"/>
                <w:sz w:val="20"/>
              </w:rPr>
              <w:t>Kadar respons</w:t>
            </w:r>
          </w:p>
        </w:tc>
      </w:tr>
      <w:tr>
        <w:tc>
          <w:tcPr>
            <w:tcW w:type="dxa" w:w="4656"/>
          </w:tcPr>
          <w:p>
            <w:r>
              <w:rPr>
                <w:rFonts w:ascii="Arial" w:hAnsi="Arial"/>
                <w:sz w:val="20"/>
              </w:rPr>
              <w:t>Summary Report</w:t>
            </w:r>
          </w:p>
        </w:tc>
        <w:tc>
          <w:tcPr>
            <w:tcW w:type="dxa" w:w="4656"/>
          </w:tcPr>
          <w:p>
            <w:r>
              <w:rPr>
                <w:rFonts w:ascii="Arial" w:hAnsi="Arial"/>
                <w:sz w:val="20"/>
              </w:rPr>
              <w:t>Laporan ringkasan</w:t>
            </w:r>
          </w:p>
        </w:tc>
      </w:tr>
      <w:tr>
        <w:tc>
          <w:tcPr>
            <w:tcW w:type="dxa" w:w="4656"/>
          </w:tcPr>
          <w:p>
            <w:r>
              <w:rPr>
                <w:rFonts w:ascii="Arial" w:hAnsi="Arial"/>
                <w:sz w:val="20"/>
              </w:rPr>
              <w:t>Attendance Statistics</w:t>
            </w:r>
          </w:p>
        </w:tc>
        <w:tc>
          <w:tcPr>
            <w:tcW w:type="dxa" w:w="4656"/>
          </w:tcPr>
          <w:p>
            <w:r>
              <w:rPr>
                <w:rFonts w:ascii="Arial" w:hAnsi="Arial"/>
                <w:sz w:val="20"/>
              </w:rPr>
              <w:t>Statistik kehadiran</w:t>
            </w:r>
          </w:p>
        </w:tc>
      </w:tr>
      <w:tr>
        <w:tc>
          <w:tcPr>
            <w:tcW w:type="dxa" w:w="4656"/>
          </w:tcPr>
          <w:p>
            <w:r>
              <w:rPr>
                <w:rFonts w:ascii="Arial" w:hAnsi="Arial"/>
                <w:sz w:val="20"/>
              </w:rPr>
              <w:t>Post-Mortem Meeting</w:t>
            </w:r>
          </w:p>
        </w:tc>
        <w:tc>
          <w:tcPr>
            <w:tcW w:type="dxa" w:w="4656"/>
          </w:tcPr>
          <w:p>
            <w:r>
              <w:rPr>
                <w:rFonts w:ascii="Arial" w:hAnsi="Arial"/>
                <w:sz w:val="20"/>
              </w:rPr>
              <w:t>Mesyuarat pasca-mortem</w:t>
            </w:r>
          </w:p>
        </w:tc>
      </w:tr>
      <w:tr>
        <w:tc>
          <w:tcPr>
            <w:tcW w:type="dxa" w:w="4656"/>
          </w:tcPr>
          <w:p>
            <w:r>
              <w:rPr>
                <w:rFonts w:ascii="Arial" w:hAnsi="Arial"/>
                <w:sz w:val="20"/>
              </w:rPr>
              <w:t>Meeting Protocol</w:t>
            </w:r>
          </w:p>
        </w:tc>
        <w:tc>
          <w:tcPr>
            <w:tcW w:type="dxa" w:w="4656"/>
          </w:tcPr>
          <w:p>
            <w:r>
              <w:rPr>
                <w:rFonts w:ascii="Arial" w:hAnsi="Arial"/>
                <w:sz w:val="20"/>
              </w:rPr>
              <w:t>Protokol mesyuarat</w:t>
            </w:r>
          </w:p>
        </w:tc>
      </w:tr>
      <w:tr>
        <w:tc>
          <w:tcPr>
            <w:tcW w:type="dxa" w:w="4656"/>
          </w:tcPr>
          <w:p>
            <w:r>
              <w:rPr>
                <w:rFonts w:ascii="Arial" w:hAnsi="Arial"/>
                <w:sz w:val="20"/>
              </w:rPr>
              <w:t>Action Planning</w:t>
            </w:r>
          </w:p>
        </w:tc>
        <w:tc>
          <w:tcPr>
            <w:tcW w:type="dxa" w:w="4656"/>
          </w:tcPr>
          <w:p>
            <w:r>
              <w:rPr>
                <w:rFonts w:ascii="Arial" w:hAnsi="Arial"/>
                <w:sz w:val="20"/>
              </w:rPr>
              <w:t>Pelan tindakan</w:t>
            </w:r>
          </w:p>
        </w:tc>
      </w:tr>
      <w:tr>
        <w:tc>
          <w:tcPr>
            <w:tcW w:type="dxa" w:w="4656"/>
          </w:tcPr>
          <w:p>
            <w:r>
              <w:rPr>
                <w:rFonts w:ascii="Arial" w:hAnsi="Arial"/>
                <w:sz w:val="20"/>
              </w:rPr>
              <w:t>Minutes of Meeting</w:t>
            </w:r>
          </w:p>
        </w:tc>
        <w:tc>
          <w:tcPr>
            <w:tcW w:type="dxa" w:w="4656"/>
          </w:tcPr>
          <w:p>
            <w:r>
              <w:rPr>
                <w:rFonts w:ascii="Arial" w:hAnsi="Arial"/>
                <w:sz w:val="20"/>
              </w:rPr>
              <w:t>Minit mesyuarat</w:t>
            </w:r>
          </w:p>
        </w:tc>
      </w:tr>
      <w:tr>
        <w:tc>
          <w:tcPr>
            <w:tcW w:type="dxa" w:w="4656"/>
          </w:tcPr>
          <w:p>
            <w:r>
              <w:rPr>
                <w:rFonts w:ascii="Arial" w:hAnsi="Arial"/>
                <w:sz w:val="20"/>
              </w:rPr>
              <w:t>Recommendation</w:t>
            </w:r>
          </w:p>
        </w:tc>
        <w:tc>
          <w:tcPr>
            <w:tcW w:type="dxa" w:w="4656"/>
          </w:tcPr>
          <w:p>
            <w:r>
              <w:rPr>
                <w:rFonts w:ascii="Arial" w:hAnsi="Arial"/>
                <w:sz w:val="20"/>
              </w:rPr>
              <w:t>Cadangan</w:t>
            </w:r>
          </w:p>
        </w:tc>
      </w:tr>
      <w:tr>
        <w:tc>
          <w:tcPr>
            <w:tcW w:type="dxa" w:w="4656"/>
          </w:tcPr>
          <w:p>
            <w:r>
              <w:rPr>
                <w:rFonts w:ascii="Arial" w:hAnsi="Arial"/>
                <w:sz w:val="20"/>
              </w:rPr>
              <w:t>Strength and Challenge</w:t>
            </w:r>
          </w:p>
        </w:tc>
        <w:tc>
          <w:tcPr>
            <w:tcW w:type="dxa" w:w="4656"/>
          </w:tcPr>
          <w:p>
            <w:r>
              <w:rPr>
                <w:rFonts w:ascii="Arial" w:hAnsi="Arial"/>
                <w:sz w:val="20"/>
              </w:rPr>
              <w:t>Kekuatan dan cabaran</w:t>
            </w:r>
          </w:p>
        </w:tc>
      </w:tr>
      <w:tr>
        <w:tc>
          <w:tcPr>
            <w:tcW w:type="dxa" w:w="4656"/>
          </w:tcPr>
          <w:p>
            <w:r>
              <w:rPr>
                <w:rFonts w:ascii="Arial" w:hAnsi="Arial"/>
                <w:sz w:val="20"/>
              </w:rPr>
              <w:t>Accountability</w:t>
            </w:r>
          </w:p>
        </w:tc>
        <w:tc>
          <w:tcPr>
            <w:tcW w:type="dxa" w:w="4656"/>
          </w:tcPr>
          <w:p>
            <w:r>
              <w:rPr>
                <w:rFonts w:ascii="Arial" w:hAnsi="Arial"/>
                <w:sz w:val="20"/>
              </w:rPr>
              <w:t>Akauntabiliti</w:t>
            </w:r>
          </w:p>
        </w:tc>
      </w:tr>
      <w:tr>
        <w:tc>
          <w:tcPr>
            <w:tcW w:type="dxa" w:w="4656"/>
          </w:tcPr>
          <w:p>
            <w:r>
              <w:rPr>
                <w:rFonts w:ascii="Arial" w:hAnsi="Arial"/>
                <w:sz w:val="20"/>
              </w:rPr>
              <w:t>Data Recording</w:t>
            </w:r>
          </w:p>
        </w:tc>
        <w:tc>
          <w:tcPr>
            <w:tcW w:type="dxa" w:w="4656"/>
          </w:tcPr>
          <w:p>
            <w:r>
              <w:rPr>
                <w:rFonts w:ascii="Arial" w:hAnsi="Arial"/>
                <w:sz w:val="20"/>
              </w:rPr>
              <w:t>Rekod data</w:t>
            </w:r>
          </w:p>
        </w:tc>
      </w:tr>
      <w:tr>
        <w:tc>
          <w:tcPr>
            <w:tcW w:type="dxa" w:w="4656"/>
          </w:tcPr>
          <w:p>
            <w:r>
              <w:rPr>
                <w:rFonts w:ascii="Arial" w:hAnsi="Arial"/>
                <w:sz w:val="20"/>
              </w:rPr>
              <w:t>Trend Analysis</w:t>
            </w:r>
          </w:p>
        </w:tc>
        <w:tc>
          <w:tcPr>
            <w:tcW w:type="dxa" w:w="4656"/>
          </w:tcPr>
          <w:p>
            <w:r>
              <w:rPr>
                <w:rFonts w:ascii="Arial" w:hAnsi="Arial"/>
                <w:sz w:val="20"/>
              </w:rPr>
              <w:t>Analisis corak/trend</w:t>
            </w:r>
          </w:p>
        </w:tc>
      </w:tr>
      <w:tr>
        <w:tc>
          <w:tcPr>
            <w:tcW w:type="dxa" w:w="4656"/>
          </w:tcPr>
          <w:p>
            <w:r>
              <w:rPr>
                <w:rFonts w:ascii="Arial" w:hAnsi="Arial"/>
                <w:sz w:val="20"/>
              </w:rPr>
              <w:t>Presentation</w:t>
            </w:r>
          </w:p>
        </w:tc>
        <w:tc>
          <w:tcPr>
            <w:tcW w:type="dxa" w:w="4656"/>
          </w:tcPr>
          <w:p>
            <w:r>
              <w:rPr>
                <w:rFonts w:ascii="Arial" w:hAnsi="Arial"/>
                <w:sz w:val="20"/>
              </w:rPr>
              <w:t>Pembentangan</w:t>
            </w:r>
          </w:p>
        </w:tc>
      </w:tr>
      <w:tr>
        <w:tc>
          <w:tcPr>
            <w:tcW w:type="dxa" w:w="4656"/>
          </w:tcPr>
          <w:p>
            <w:r>
              <w:rPr>
                <w:rFonts w:ascii="Arial" w:hAnsi="Arial"/>
                <w:sz w:val="20"/>
              </w:rPr>
              <w:t>Follow-up</w:t>
            </w:r>
          </w:p>
        </w:tc>
        <w:tc>
          <w:tcPr>
            <w:tcW w:type="dxa" w:w="4656"/>
          </w:tcPr>
          <w:p>
            <w:r>
              <w:rPr>
                <w:rFonts w:ascii="Arial" w:hAnsi="Arial"/>
                <w:sz w:val="20"/>
              </w:rPr>
              <w:t>Susulan</w:t>
            </w:r>
          </w:p>
        </w:tc>
      </w:tr>
      <w:tr>
        <w:tc>
          <w:tcPr>
            <w:tcW w:type="dxa" w:w="4656"/>
          </w:tcPr>
          <w:p>
            <w:r>
              <w:rPr>
                <w:rFonts w:ascii="Arial" w:hAnsi="Arial"/>
                <w:sz w:val="20"/>
              </w:rPr>
              <w:t>Transparency</w:t>
            </w:r>
          </w:p>
        </w:tc>
        <w:tc>
          <w:tcPr>
            <w:tcW w:type="dxa" w:w="4656"/>
          </w:tcPr>
          <w:p>
            <w:r>
              <w:rPr>
                <w:rFonts w:ascii="Arial" w:hAnsi="Arial"/>
                <w:sz w:val="20"/>
              </w:rPr>
              <w:t>Ketelusan</w:t>
            </w:r>
          </w:p>
        </w:tc>
      </w:tr>
      <w:tr>
        <w:tc>
          <w:tcPr>
            <w:tcW w:type="dxa" w:w="4656"/>
          </w:tcPr>
          <w:p>
            <w:r>
              <w:rPr>
                <w:rFonts w:ascii="Arial" w:hAnsi="Arial"/>
                <w:sz w:val="20"/>
              </w:rPr>
              <w:t>Target vs Actual</w:t>
            </w:r>
          </w:p>
        </w:tc>
        <w:tc>
          <w:tcPr>
            <w:tcW w:type="dxa" w:w="4656"/>
          </w:tcPr>
          <w:p>
            <w:r>
              <w:rPr>
                <w:rFonts w:ascii="Arial" w:hAnsi="Arial"/>
                <w:sz w:val="20"/>
              </w:rPr>
              <w:t>Sasaran berbanding sebenar</w:t>
            </w:r>
          </w:p>
        </w:tc>
      </w:tr>
      <w:tr>
        <w:tc>
          <w:tcPr>
            <w:tcW w:type="dxa" w:w="4656"/>
          </w:tcPr>
          <w:p>
            <w:r>
              <w:rPr>
                <w:rFonts w:ascii="Arial" w:hAnsi="Arial"/>
                <w:sz w:val="20"/>
              </w:rPr>
              <w:t>Historical Record</w:t>
            </w:r>
          </w:p>
        </w:tc>
        <w:tc>
          <w:tcPr>
            <w:tcW w:type="dxa" w:w="4656"/>
          </w:tcPr>
          <w:p>
            <w:r>
              <w:rPr>
                <w:rFonts w:ascii="Arial" w:hAnsi="Arial"/>
                <w:sz w:val="20"/>
              </w:rPr>
              <w:t>Rekod sejarah</w:t>
            </w:r>
          </w:p>
        </w:tc>
      </w:tr>
      <w:tr>
        <w:tc>
          <w:tcPr>
            <w:tcW w:type="dxa" w:w="4656"/>
          </w:tcPr>
          <w:p>
            <w:r>
              <w:rPr>
                <w:rFonts w:ascii="Arial" w:hAnsi="Arial"/>
                <w:sz w:val="20"/>
              </w:rPr>
              <w:t>Stakeholder Engagement</w:t>
            </w:r>
          </w:p>
        </w:tc>
        <w:tc>
          <w:tcPr>
            <w:tcW w:type="dxa" w:w="4656"/>
          </w:tcPr>
          <w:p>
            <w:r>
              <w:rPr>
                <w:rFonts w:ascii="Arial" w:hAnsi="Arial"/>
                <w:sz w:val="20"/>
              </w:rPr>
              <w:t>Penglibatan pihak berkepentingan</w:t>
            </w:r>
          </w:p>
        </w:tc>
      </w:tr>
    </w:tbl>
    <w:p>
      <w:r>
        <w:rPr>
          <w:b/>
        </w:rPr>
        <w:t>SOALAN:</w:t>
      </w:r>
    </w:p>
    <w:p/>
    <w:p>
      <w:pPr>
        <w:pStyle w:val="ListParagraph"/>
      </w:pPr>
      <w:r>
        <w:t>Senaraikan dua kaedah mengumpul maklum balas daripada ibu bapa selepas aktiviti ibu bapa-komuniti dan nyatakan kesesuaian masing-masing.</w:t>
      </w:r>
    </w:p>
    <w:p>
      <w:r>
        <w:t>Jawapan model: Borang kertas ringkas (sesuai untuk capaian segera selepas program di tadika) dan borang Google Form dihantar melalui WhatsApp (sesuai untuk ibu bapa celik digital dan memudahkan analisis data).</w:t>
      </w:r>
    </w:p>
    <w:p/>
    <w:p>
      <w:pPr>
        <w:pStyle w:val="ListParagraph"/>
      </w:pPr>
      <w:r>
        <w:t>Apakah komponen utama yang perlu ada dalam laporan ringkasan aktiviti ibu bapa-komuniti?</w:t>
      </w:r>
    </w:p>
    <w:p>
      <w:r>
        <w:t>Jawapan model: Maklumat am program (tajuk, tarikh, tempat, objektif), statistik kehadiran, ringkasan pelaksanaan, analisis maklum balas, kekuatan dan cabaran, serta cadangan penambahbaikan.</w:t>
      </w:r>
    </w:p>
    <w:p/>
    <w:p>
      <w:pPr>
        <w:pStyle w:val="ListParagraph"/>
      </w:pPr>
      <w:r>
        <w:t>Jelaskan tujuan mesyuarat pasca-mortem selepas sesuatu program ibu bapa-komuniti dijalankan.</w:t>
      </w:r>
    </w:p>
    <w:p>
      <w:r>
        <w:t>Jawapan model: Untuk membentangkan laporan program, membincangkan kekuatan dan cabaran yang timbul, serta merumuskan cadangan penambahbaikan berserta pelan tindakan bagi memastikan program akan datang dilaksanakan dengan lebih baik.</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P851-002-4:2025-C05/NP(3/3)</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