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IT-072-3:2012-C01 / VISUAL EDITING PROJECT ANALYSIS</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IT-072-3:2012-C01-W05 / Produce project workflow</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IT-072-3:2012-C01/NP(5/5)</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Menghasilkan Aliran Kerja Projek Penyuntingan Visual (Producing the Visual Editing Project Workflow)</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Selepas melalui nota ini, Bakat akan berupaya untuk:</w:t>
      </w:r>
    </w:p>
    <w:p>
      <w:pPr>
        <w:pStyle w:val="ListParagraph"/>
        <w:spacing w:line="276" w:lineRule="auto" w:after="40"/>
        <w:ind w:left="357" w:hanging="357"/>
        <w:jc w:val="left"/>
      </w:pPr>
      <w:r>
        <w:rPr>
          <w:rFonts w:ascii="Arial" w:hAnsi="Arial" w:cs="Arial"/>
          <w:color w:val="000000"/>
          <w:sz w:val="22"/>
        </w:rPr>
        <w:t>• Menentukan proses offline editing mengikut keperluan projek.</w:t>
      </w:r>
    </w:p>
    <w:p>
      <w:pPr>
        <w:pStyle w:val="ListParagraph"/>
        <w:spacing w:line="276" w:lineRule="auto" w:after="40"/>
        <w:ind w:left="357" w:hanging="357"/>
        <w:jc w:val="left"/>
      </w:pPr>
      <w:r>
        <w:rPr>
          <w:rFonts w:ascii="Arial" w:hAnsi="Arial" w:cs="Arial"/>
          <w:color w:val="000000"/>
          <w:sz w:val="22"/>
        </w:rPr>
        <w:t>• Menentukan proses online editing mengikut keperluan projek.</w:t>
      </w:r>
    </w:p>
    <w:p>
      <w:pPr>
        <w:pStyle w:val="ListParagraph"/>
        <w:spacing w:line="276" w:lineRule="auto" w:after="40"/>
        <w:ind w:left="357" w:hanging="357"/>
        <w:jc w:val="left"/>
      </w:pPr>
      <w:r>
        <w:rPr>
          <w:rFonts w:ascii="Arial" w:hAnsi="Arial" w:cs="Arial"/>
          <w:color w:val="000000"/>
          <w:sz w:val="22"/>
        </w:rPr>
        <w:t>• Melaksanakan tempoh projek mengikut keperluan projek.</w:t>
      </w:r>
    </w:p>
    <w:p>
      <w:pPr>
        <w:pStyle w:val="ListParagraph"/>
        <w:spacing w:line="276" w:lineRule="auto" w:after="40"/>
        <w:ind w:left="357" w:hanging="357"/>
        <w:jc w:val="left"/>
      </w:pPr>
      <w:r>
        <w:rPr>
          <w:rFonts w:ascii="Arial" w:hAnsi="Arial" w:cs="Arial"/>
          <w:color w:val="000000"/>
          <w:sz w:val="22"/>
        </w:rPr>
        <w:t>• Mengesahkan jadual kerja mengikut keperluan projek.</w:t>
      </w:r>
    </w:p>
    <w:p>
      <w:pPr>
        <w:pStyle w:val="ListParagraph"/>
        <w:spacing w:line="276" w:lineRule="auto" w:after="40"/>
        <w:ind w:left="357" w:hanging="357"/>
        <w:jc w:val="left"/>
      </w:pPr>
      <w:r>
        <w:rPr>
          <w:rFonts w:ascii="Arial" w:hAnsi="Arial" w:cs="Arial"/>
          <w:color w:val="000000"/>
          <w:sz w:val="22"/>
        </w:rPr>
        <w:t>• Menghasilkan aliran kerja (workflow) projek yang lengkap.</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Offline Editing Process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Mendefinisikan offline editing dan tujuannya.</w:t>
      </w:r>
    </w:p>
    <w:p>
      <w:pPr>
        <w:pStyle w:val="ListParagraph"/>
        <w:spacing w:line="276" w:lineRule="auto" w:after="40"/>
        <w:ind w:left="357" w:hanging="357"/>
        <w:jc w:val="left"/>
      </w:pPr>
      <w:r>
        <w:rPr>
          <w:rFonts w:ascii="Arial" w:hAnsi="Arial" w:cs="Arial"/>
          <w:color w:val="000000"/>
          <w:sz w:val="22"/>
        </w:rPr>
        <w:t>• Mengenal pasti peringkat-peringkat proses offline editing.</w:t>
      </w:r>
    </w:p>
    <w:p>
      <w:pPr>
        <w:pStyle w:val="ListParagraph"/>
        <w:spacing w:line="276" w:lineRule="auto" w:after="40"/>
        <w:ind w:left="357" w:hanging="357"/>
        <w:jc w:val="left"/>
      </w:pPr>
      <w:r>
        <w:rPr>
          <w:rFonts w:ascii="Arial" w:hAnsi="Arial" w:cs="Arial"/>
          <w:color w:val="000000"/>
          <w:sz w:val="22"/>
        </w:rPr>
        <w:t>• Menentukan proses offline editing yang akan digunakan bagi sesuatu projek.</w:t>
      </w:r>
    </w:p>
    <w:p>
      <w:pPr>
        <w:spacing w:before="120" w:after="120" w:line="276" w:lineRule="auto"/>
        <w:jc w:val="left"/>
      </w:pPr>
      <w:r>
        <w:rPr>
          <w:rFonts w:ascii="Arial" w:hAnsi="Arial" w:cs="Arial"/>
          <w:b/>
          <w:color w:val="000000"/>
          <w:sz w:val="22"/>
        </w:rPr>
        <w:t>1. Definisi Offline Editing</w:t>
      </w:r>
    </w:p>
    <w:p>
      <w:pPr>
        <w:spacing w:line="276" w:lineRule="auto" w:after="120"/>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w:t>
      </w:r>
    </w:p>
    <w:p>
      <w:pPr>
        <w:spacing w:before="120" w:after="120" w:line="276" w:lineRule="auto"/>
        <w:jc w:val="left"/>
      </w:pPr>
      <w:r>
        <w:rPr>
          <w:rFonts w:ascii="Arial" w:hAnsi="Arial" w:cs="Arial"/>
          <w:b/>
          <w:color w:val="000000"/>
          <w:sz w:val="22"/>
        </w:rPr>
        <w:t>2. Peringkat-peringkat Proses Offline</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Peringkat</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Persediaan bin dan log</w:t>
            </w:r>
          </w:p>
        </w:tc>
        <w:tc>
          <w:tcPr>
            <w:tcW w:type="dxa" w:w="4656"/>
            <w:tcMar>
              <w:top w:w="57" w:type="dxa"/>
              <w:left w:w="57" w:type="dxa"/>
              <w:bottom w:w="57" w:type="dxa"/>
              <w:right w:w="57" w:type="dxa"/>
            </w:tcMar>
          </w:tcPr>
          <w:p>
            <w:r>
              <w:rPr>
                <w:rFonts w:ascii="Arial" w:hAnsi="Arial" w:cs="Arial"/>
                <w:color w:val="000000"/>
                <w:sz w:val="20"/>
              </w:rPr>
              <w:t>Menyusun footage yang telah dipratonton (rujuk WA4) mengikut scene/sequence</w:t>
            </w:r>
          </w:p>
        </w:tc>
      </w:tr>
      <w:tr>
        <w:trPr>
          <w:cantSplit w:val="true"/>
        </w:trPr>
        <w:tc>
          <w:tcPr>
            <w:tcW w:type="dxa" w:w="4656"/>
            <w:tcMar>
              <w:top w:w="57" w:type="dxa"/>
              <w:left w:w="57" w:type="dxa"/>
              <w:bottom w:w="57" w:type="dxa"/>
              <w:right w:w="57" w:type="dxa"/>
            </w:tcMar>
          </w:tcPr>
          <w:p>
            <w:r>
              <w:rPr>
                <w:rFonts w:ascii="Arial" w:hAnsi="Arial" w:cs="Arial"/>
                <w:color w:val="000000"/>
                <w:sz w:val="20"/>
              </w:rPr>
              <w:t>Assembly cut</w:t>
            </w:r>
          </w:p>
        </w:tc>
        <w:tc>
          <w:tcPr>
            <w:tcW w:type="dxa" w:w="4656"/>
            <w:tcMar>
              <w:top w:w="57" w:type="dxa"/>
              <w:left w:w="57" w:type="dxa"/>
              <w:bottom w:w="57" w:type="dxa"/>
              <w:right w:w="57" w:type="dxa"/>
            </w:tcMar>
          </w:tcPr>
          <w:p>
            <w:r>
              <w:rPr>
                <w:rFonts w:ascii="Arial" w:hAnsi="Arial" w:cs="Arial"/>
                <w:color w:val="000000"/>
                <w:sz w:val="20"/>
              </w:rPr>
              <w:t>Menyusun shot mengikut turutan skrip secara kasar tanpa pemangkasan terperinci</w:t>
            </w:r>
          </w:p>
        </w:tc>
      </w:tr>
      <w:tr>
        <w:trPr>
          <w:cantSplit w:val="true"/>
        </w:trPr>
        <w:tc>
          <w:tcPr>
            <w:tcW w:type="dxa" w:w="4656"/>
            <w:tcMar>
              <w:top w:w="57" w:type="dxa"/>
              <w:left w:w="57" w:type="dxa"/>
              <w:bottom w:w="57" w:type="dxa"/>
              <w:right w:w="57" w:type="dxa"/>
            </w:tcMar>
          </w:tcPr>
          <w:p>
            <w:r>
              <w:rPr>
                <w:rFonts w:ascii="Arial" w:hAnsi="Arial" w:cs="Arial"/>
                <w:color w:val="000000"/>
                <w:sz w:val="20"/>
              </w:rPr>
              <w:t>Rough cut hingga fine cut</w:t>
            </w:r>
          </w:p>
        </w:tc>
        <w:tc>
          <w:tcPr>
            <w:tcW w:type="dxa" w:w="4656"/>
            <w:tcMar>
              <w:top w:w="57" w:type="dxa"/>
              <w:left w:w="57" w:type="dxa"/>
              <w:bottom w:w="57" w:type="dxa"/>
              <w:right w:w="57" w:type="dxa"/>
            </w:tcMar>
          </w:tcPr>
          <w:p>
            <w:r>
              <w:rPr>
                <w:rFonts w:ascii="Arial" w:hAnsi="Arial" w:cs="Arial"/>
                <w:color w:val="000000"/>
                <w:sz w:val="20"/>
              </w:rPr>
              <w:t>Memangkas (trim), menyusun semula (reorder), memperhalusi rentak (pacing) sequence secara berperingkat (dibincangkan penuh dalam CU C03)</w:t>
            </w:r>
          </w:p>
        </w:tc>
      </w:tr>
      <w:tr>
        <w:trPr>
          <w:cantSplit w:val="true"/>
        </w:trPr>
        <w:tc>
          <w:tcPr>
            <w:tcW w:type="dxa" w:w="4656"/>
            <w:tcMar>
              <w:top w:w="57" w:type="dxa"/>
              <w:left w:w="57" w:type="dxa"/>
              <w:bottom w:w="57" w:type="dxa"/>
              <w:right w:w="57" w:type="dxa"/>
            </w:tcMar>
          </w:tcPr>
          <w:p>
            <w:r>
              <w:rPr>
                <w:rFonts w:ascii="Arial" w:hAnsi="Arial" w:cs="Arial"/>
                <w:color w:val="000000"/>
                <w:sz w:val="20"/>
              </w:rPr>
              <w:t>Kunci offline (offline lock)</w:t>
            </w:r>
          </w:p>
        </w:tc>
        <w:tc>
          <w:tcPr>
            <w:tcW w:type="dxa" w:w="4656"/>
            <w:tcMar>
              <w:top w:w="57" w:type="dxa"/>
              <w:left w:w="57" w:type="dxa"/>
              <w:bottom w:w="57" w:type="dxa"/>
              <w:right w:w="57" w:type="dxa"/>
            </w:tcMar>
          </w:tcPr>
          <w:p>
            <w:r>
              <w:rPr>
                <w:rFonts w:ascii="Arial" w:hAnsi="Arial" w:cs="Arial"/>
                <w:color w:val="000000"/>
                <w:sz w:val="20"/>
              </w:rPr>
              <w:t>Pengesahan akhir daripada Director bahawa susunan dan tempoh offline sudah muktamad</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w:t>
      </w:r>
    </w:p>
    <w:p>
      <w:pPr>
        <w:spacing w:before="120" w:after="120" w:line="276" w:lineRule="auto"/>
        <w:jc w:val="left"/>
      </w:pPr>
      <w:r>
        <w:rPr>
          <w:rFonts w:ascii="Arial" w:hAnsi="Arial" w:cs="Arial"/>
          <w:b/>
          <w:color w:val="000000"/>
          <w:sz w:val="24"/>
        </w:rPr>
        <w:t>Bab 2: Online Editing Process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Mendefinisikan online editing dan tujuannya.</w:t>
      </w:r>
    </w:p>
    <w:p>
      <w:pPr>
        <w:pStyle w:val="ListParagraph"/>
        <w:spacing w:line="276" w:lineRule="auto" w:after="40"/>
        <w:ind w:left="357" w:hanging="357"/>
        <w:jc w:val="left"/>
      </w:pPr>
      <w:r>
        <w:rPr>
          <w:rFonts w:ascii="Arial" w:hAnsi="Arial" w:cs="Arial"/>
          <w:color w:val="000000"/>
          <w:sz w:val="22"/>
        </w:rPr>
        <w:t>• Mengenal pasti peringkat-peringkat proses online editing.</w:t>
      </w:r>
    </w:p>
    <w:p>
      <w:pPr>
        <w:pStyle w:val="ListParagraph"/>
        <w:spacing w:line="276" w:lineRule="auto" w:after="40"/>
        <w:ind w:left="357" w:hanging="357"/>
        <w:jc w:val="left"/>
      </w:pPr>
      <w:r>
        <w:rPr>
          <w:rFonts w:ascii="Arial" w:hAnsi="Arial" w:cs="Arial"/>
          <w:color w:val="000000"/>
          <w:sz w:val="22"/>
        </w:rPr>
        <w:t>• Menentukan urutan proses online yang betul bagi sesuatu projek.</w:t>
      </w:r>
    </w:p>
    <w:p>
      <w:pPr>
        <w:spacing w:before="120" w:after="120" w:line="276" w:lineRule="auto"/>
        <w:jc w:val="left"/>
      </w:pPr>
      <w:r>
        <w:rPr>
          <w:rFonts w:ascii="Arial" w:hAnsi="Arial" w:cs="Arial"/>
          <w:b/>
          <w:color w:val="000000"/>
          <w:sz w:val="22"/>
        </w:rPr>
        <w:t>1. Definisi Online Editing</w:t>
      </w:r>
    </w:p>
    <w:p>
      <w:pPr>
        <w:spacing w:line="276" w:lineRule="auto" w:after="120"/>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w:t>
      </w:r>
    </w:p>
    <w:p>
      <w:pPr>
        <w:spacing w:before="120" w:after="120" w:line="276" w:lineRule="auto"/>
        <w:jc w:val="left"/>
      </w:pPr>
      <w:r>
        <w:rPr>
          <w:rFonts w:ascii="Arial" w:hAnsi="Arial" w:cs="Arial"/>
          <w:b/>
          <w:color w:val="000000"/>
          <w:sz w:val="22"/>
        </w:rPr>
        <w:t>2. Peringkat-peringkat Proses Online</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Peringkat</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Conform</w:t>
            </w:r>
          </w:p>
        </w:tc>
        <w:tc>
          <w:tcPr>
            <w:tcW w:type="dxa" w:w="4656"/>
            <w:tcMar>
              <w:top w:w="57" w:type="dxa"/>
              <w:left w:w="57" w:type="dxa"/>
              <w:bottom w:w="57" w:type="dxa"/>
              <w:right w:w="57" w:type="dxa"/>
            </w:tcMar>
          </w:tcPr>
          <w:p>
            <w:r>
              <w:rPr>
                <w:rFonts w:ascii="Arial" w:hAnsi="Arial" w:cs="Arial"/>
                <w:color w:val="000000"/>
                <w:sz w:val="20"/>
              </w:rPr>
              <w:t>Menggantikan klip proxy offline dengan bahan resolusi penuh menggunakan EDL/XML/AAF (rujuk CU C03, WA5)</w:t>
            </w:r>
          </w:p>
        </w:tc>
      </w:tr>
      <w:tr>
        <w:trPr>
          <w:cantSplit w:val="true"/>
        </w:trPr>
        <w:tc>
          <w:tcPr>
            <w:tcW w:type="dxa" w:w="4656"/>
            <w:tcMar>
              <w:top w:w="57" w:type="dxa"/>
              <w:left w:w="57" w:type="dxa"/>
              <w:bottom w:w="57" w:type="dxa"/>
              <w:right w:w="57" w:type="dxa"/>
            </w:tcMar>
          </w:tcPr>
          <w:p>
            <w:r>
              <w:rPr>
                <w:rFonts w:ascii="Arial" w:hAnsi="Arial" w:cs="Arial"/>
                <w:color w:val="000000"/>
                <w:sz w:val="20"/>
              </w:rPr>
              <w:t>Penambahan elemen visual</w:t>
            </w:r>
          </w:p>
        </w:tc>
        <w:tc>
          <w:tcPr>
            <w:tcW w:type="dxa" w:w="4656"/>
            <w:tcMar>
              <w:top w:w="57" w:type="dxa"/>
              <w:left w:w="57" w:type="dxa"/>
              <w:bottom w:w="57" w:type="dxa"/>
              <w:right w:w="57" w:type="dxa"/>
            </w:tcMar>
          </w:tcPr>
          <w:p>
            <w:r>
              <w:rPr>
                <w:rFonts w:ascii="Arial" w:hAnsi="Arial" w:cs="Arial"/>
                <w:color w:val="000000"/>
                <w:sz w:val="20"/>
              </w:rPr>
              <w:t>Grafik, titling, VFX (rujuk CU C05, WA2-W3)</w:t>
            </w:r>
          </w:p>
        </w:tc>
      </w:tr>
      <w:tr>
        <w:trPr>
          <w:cantSplit w:val="true"/>
        </w:trPr>
        <w:tc>
          <w:tcPr>
            <w:tcW w:type="dxa" w:w="4656"/>
            <w:tcMar>
              <w:top w:w="57" w:type="dxa"/>
              <w:left w:w="57" w:type="dxa"/>
              <w:bottom w:w="57" w:type="dxa"/>
              <w:right w:w="57" w:type="dxa"/>
            </w:tcMar>
          </w:tcPr>
          <w:p>
            <w:r>
              <w:rPr>
                <w:rFonts w:ascii="Arial" w:hAnsi="Arial" w:cs="Arial"/>
                <w:color w:val="000000"/>
                <w:sz w:val="20"/>
              </w:rPr>
              <w:t>Colour correction/grading</w:t>
            </w:r>
          </w:p>
        </w:tc>
        <w:tc>
          <w:tcPr>
            <w:tcW w:type="dxa" w:w="4656"/>
            <w:tcMar>
              <w:top w:w="57" w:type="dxa"/>
              <w:left w:w="57" w:type="dxa"/>
              <w:bottom w:w="57" w:type="dxa"/>
              <w:right w:w="57" w:type="dxa"/>
            </w:tcMar>
          </w:tcPr>
          <w:p>
            <w:r>
              <w:rPr>
                <w:rFonts w:ascii="Arial" w:hAnsi="Arial" w:cs="Arial"/>
                <w:color w:val="000000"/>
                <w:sz w:val="20"/>
              </w:rPr>
              <w:t>Penyeragaman dan penambahbaikan warna (rujuk CU C05, WA4)</w:t>
            </w:r>
          </w:p>
        </w:tc>
      </w:tr>
      <w:tr>
        <w:trPr>
          <w:cantSplit w:val="true"/>
        </w:trPr>
        <w:tc>
          <w:tcPr>
            <w:tcW w:type="dxa" w:w="4656"/>
            <w:tcMar>
              <w:top w:w="57" w:type="dxa"/>
              <w:left w:w="57" w:type="dxa"/>
              <w:bottom w:w="57" w:type="dxa"/>
              <w:right w:w="57" w:type="dxa"/>
            </w:tcMar>
          </w:tcPr>
          <w:p>
            <w:r>
              <w:rPr>
                <w:rFonts w:ascii="Arial" w:hAnsi="Arial" w:cs="Arial"/>
                <w:color w:val="000000"/>
                <w:sz w:val="20"/>
              </w:rPr>
              <w:t>Audio final mix</w:t>
            </w:r>
          </w:p>
        </w:tc>
        <w:tc>
          <w:tcPr>
            <w:tcW w:type="dxa" w:w="4656"/>
            <w:tcMar>
              <w:top w:w="57" w:type="dxa"/>
              <w:left w:w="57" w:type="dxa"/>
              <w:bottom w:w="57" w:type="dxa"/>
              <w:right w:w="57" w:type="dxa"/>
            </w:tcMar>
          </w:tcPr>
          <w:p>
            <w:r>
              <w:rPr>
                <w:rFonts w:ascii="Arial" w:hAnsi="Arial" w:cs="Arial"/>
                <w:color w:val="000000"/>
                <w:sz w:val="20"/>
              </w:rPr>
              <w:t>Penggabungan trek audio yang telah di-mix (rujuk CU C04 dan C05, WA5)</w:t>
            </w:r>
          </w:p>
        </w:tc>
      </w:tr>
      <w:tr>
        <w:trPr>
          <w:cantSplit w:val="true"/>
        </w:trPr>
        <w:tc>
          <w:tcPr>
            <w:tcW w:type="dxa" w:w="4656"/>
            <w:tcMar>
              <w:top w:w="57" w:type="dxa"/>
              <w:left w:w="57" w:type="dxa"/>
              <w:bottom w:w="57" w:type="dxa"/>
              <w:right w:w="57" w:type="dxa"/>
            </w:tcMar>
          </w:tcPr>
          <w:p>
            <w:r>
              <w:rPr>
                <w:rFonts w:ascii="Arial" w:hAnsi="Arial" w:cs="Arial"/>
                <w:color w:val="000000"/>
                <w:sz w:val="20"/>
              </w:rPr>
              <w:t>Eksport akhir (mastering)</w:t>
            </w:r>
          </w:p>
        </w:tc>
        <w:tc>
          <w:tcPr>
            <w:tcW w:type="dxa" w:w="4656"/>
            <w:tcMar>
              <w:top w:w="57" w:type="dxa"/>
              <w:left w:w="57" w:type="dxa"/>
              <w:bottom w:w="57" w:type="dxa"/>
              <w:right w:w="57" w:type="dxa"/>
            </w:tcMar>
          </w:tcPr>
          <w:p>
            <w:r>
              <w:rPr>
                <w:rFonts w:ascii="Arial" w:hAnsi="Arial" w:cs="Arial"/>
                <w:color w:val="000000"/>
                <w:sz w:val="20"/>
              </w:rPr>
              <w:t>Penghasilan fail deliverable mengikut spesifikasi output yang telah disahkan (rujuk WA1, Bab 5)</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w:t>
      </w:r>
    </w:p>
    <w:p>
      <w:pPr>
        <w:spacing w:before="120" w:after="120" w:line="276" w:lineRule="auto"/>
        <w:jc w:val="left"/>
      </w:pPr>
      <w:r>
        <w:rPr>
          <w:rFonts w:ascii="Arial" w:hAnsi="Arial" w:cs="Arial"/>
          <w:b/>
          <w:color w:val="000000"/>
          <w:sz w:val="24"/>
        </w:rPr>
        <w:t>Bab 3: Project Duration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Melaksanakan anggaran tempoh projek daripada peringkat analisis skrip secara praktikal.</w:t>
      </w:r>
    </w:p>
    <w:p>
      <w:pPr>
        <w:pStyle w:val="ListParagraph"/>
        <w:spacing w:line="276" w:lineRule="auto" w:after="40"/>
        <w:ind w:left="357" w:hanging="357"/>
        <w:jc w:val="left"/>
      </w:pPr>
      <w:r>
        <w:rPr>
          <w:rFonts w:ascii="Arial" w:hAnsi="Arial" w:cs="Arial"/>
          <w:color w:val="000000"/>
          <w:sz w:val="22"/>
        </w:rPr>
        <w:t>• Memperincikan tempoh keseluruhan kepada tempoh spesifik setiap fasa.</w:t>
      </w:r>
    </w:p>
    <w:p>
      <w:pPr>
        <w:pStyle w:val="ListParagraph"/>
        <w:spacing w:line="276" w:lineRule="auto" w:after="40"/>
        <w:ind w:left="357" w:hanging="357"/>
        <w:jc w:val="left"/>
      </w:pPr>
      <w:r>
        <w:rPr>
          <w:rFonts w:ascii="Arial" w:hAnsi="Arial" w:cs="Arial"/>
          <w:color w:val="000000"/>
          <w:sz w:val="22"/>
        </w:rPr>
        <w:t>• Menyediakan margin masa bagi pusingan semakan tambahan.</w:t>
      </w:r>
    </w:p>
    <w:p>
      <w:pPr>
        <w:spacing w:before="120" w:after="120" w:line="276" w:lineRule="auto"/>
        <w:jc w:val="left"/>
      </w:pPr>
      <w:r>
        <w:rPr>
          <w:rFonts w:ascii="Arial" w:hAnsi="Arial" w:cs="Arial"/>
          <w:b/>
          <w:color w:val="000000"/>
          <w:sz w:val="22"/>
        </w:rPr>
        <w:t>1. Daripada Anggaran kepada Pelaksanaan</w:t>
      </w:r>
    </w:p>
    <w:p>
      <w:pPr>
        <w:spacing w:line="276" w:lineRule="auto" w:after="120"/>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w:t>
      </w:r>
    </w:p>
    <w:p>
      <w:pPr>
        <w:spacing w:before="120" w:after="120" w:line="276" w:lineRule="auto"/>
        <w:jc w:val="left"/>
      </w:pPr>
      <w:r>
        <w:rPr>
          <w:rFonts w:ascii="Arial" w:hAnsi="Arial" w:cs="Arial"/>
          <w:b/>
          <w:color w:val="000000"/>
          <w:sz w:val="22"/>
        </w:rPr>
        <w:t>2. Perincian Tempoh Setiap Fasa</w:t>
      </w:r>
    </w:p>
    <w:p>
      <w:pPr>
        <w:pStyle w:val="ListParagraph"/>
        <w:spacing w:line="276" w:lineRule="auto" w:after="40"/>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pPr>
        <w:pStyle w:val="ListParagraph"/>
        <w:spacing w:line="276" w:lineRule="auto" w:after="40"/>
        <w:ind w:left="357" w:hanging="357"/>
        <w:jc w:val="left"/>
      </w:pPr>
      <w:r>
        <w:rPr>
          <w:rFonts w:ascii="Arial" w:hAnsi="Arial" w:cs="Arial"/>
          <w:color w:val="000000"/>
          <w:sz w:val="22"/>
        </w:rPr>
        <w:t>• Menyediakan margin masa (buffer) bagi pusingan semakan tambahan yang mungkin diperlukan oleh Director/pelanggan.</w:t>
      </w:r>
    </w:p>
    <w:p>
      <w:pPr>
        <w:pStyle w:val="ListParagraph"/>
        <w:spacing w:line="276" w:lineRule="auto" w:after="40"/>
        <w:ind w:left="357" w:hanging="357"/>
        <w:jc w:val="left"/>
      </w:pPr>
      <w:r>
        <w:rPr>
          <w:rFonts w:ascii="Arial" w:hAnsi="Arial" w:cs="Arial"/>
          <w:color w:val="000000"/>
          <w:sz w:val="22"/>
        </w:rPr>
        <w:t>• Menyelaraskan tempoh setiap fasa dengan ketersediaan sumber (man power, suite editing) yang telah disahkan.</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w:t>
      </w:r>
    </w:p>
    <w:p>
      <w:pPr>
        <w:spacing w:before="120" w:after="120" w:line="276" w:lineRule="auto"/>
        <w:jc w:val="left"/>
      </w:pPr>
      <w:r>
        <w:rPr>
          <w:rFonts w:ascii="Arial" w:hAnsi="Arial" w:cs="Arial"/>
          <w:b/>
          <w:color w:val="000000"/>
          <w:sz w:val="24"/>
        </w:rPr>
        <w:t>Bab 4: Working Schedule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Mendefinisikan jadual kerja (working schedule) dan fungsinya.</w:t>
      </w:r>
    </w:p>
    <w:p>
      <w:pPr>
        <w:pStyle w:val="ListParagraph"/>
        <w:spacing w:line="276" w:lineRule="auto" w:after="40"/>
        <w:ind w:left="357" w:hanging="357"/>
        <w:jc w:val="left"/>
      </w:pPr>
      <w:r>
        <w:rPr>
          <w:rFonts w:ascii="Arial" w:hAnsi="Arial" w:cs="Arial"/>
          <w:color w:val="000000"/>
          <w:sz w:val="22"/>
        </w:rPr>
        <w:t>• Mengenal pasti langkah-langkah menyediakan jadual kerja.</w:t>
      </w:r>
    </w:p>
    <w:p>
      <w:pPr>
        <w:pStyle w:val="ListParagraph"/>
        <w:spacing w:line="276" w:lineRule="auto" w:after="40"/>
        <w:ind w:left="357" w:hanging="357"/>
        <w:jc w:val="left"/>
      </w:pPr>
      <w:r>
        <w:rPr>
          <w:rFonts w:ascii="Arial" w:hAnsi="Arial" w:cs="Arial"/>
          <w:color w:val="000000"/>
          <w:sz w:val="22"/>
        </w:rPr>
        <w:t>• Menghasilkan carta aliran kerja (workflow chart) yang lengkap.</w:t>
      </w:r>
    </w:p>
    <w:p>
      <w:pPr>
        <w:spacing w:before="120" w:after="120" w:line="276" w:lineRule="auto"/>
        <w:jc w:val="left"/>
      </w:pPr>
      <w:r>
        <w:rPr>
          <w:rFonts w:ascii="Arial" w:hAnsi="Arial" w:cs="Arial"/>
          <w:b/>
          <w:color w:val="000000"/>
          <w:sz w:val="22"/>
        </w:rPr>
        <w:t>1. Definisi Jadual Kerja</w:t>
      </w:r>
    </w:p>
    <w:p>
      <w:pPr>
        <w:spacing w:line="276" w:lineRule="auto" w:after="120"/>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w:t>
      </w:r>
    </w:p>
    <w:p>
      <w:pPr>
        <w:spacing w:before="120" w:after="120" w:line="276" w:lineRule="auto"/>
        <w:jc w:val="left"/>
      </w:pPr>
      <w:r>
        <w:rPr>
          <w:rFonts w:ascii="Arial" w:hAnsi="Arial" w:cs="Arial"/>
          <w:b/>
          <w:color w:val="000000"/>
          <w:sz w:val="22"/>
        </w:rPr>
        <w:t>2. Langkah Menyediakan Jadual Kerja</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Langkah</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Pecahkan tempoh kepada milestone</w:t>
            </w:r>
          </w:p>
        </w:tc>
        <w:tc>
          <w:tcPr>
            <w:tcW w:type="dxa" w:w="4656"/>
            <w:tcMar>
              <w:top w:w="57" w:type="dxa"/>
              <w:left w:w="57" w:type="dxa"/>
              <w:bottom w:w="57" w:type="dxa"/>
              <w:right w:w="57" w:type="dxa"/>
            </w:tcMar>
          </w:tcPr>
          <w:p>
            <w:r>
              <w:rPr>
                <w:rFonts w:ascii="Arial" w:hAnsi="Arial" w:cs="Arial"/>
                <w:color w:val="000000"/>
                <w:sz w:val="20"/>
              </w:rPr>
              <w:t>Contoh: tarikh serahan rough cut, semakan Director, online lock, penghantaran akhir</w:t>
            </w:r>
          </w:p>
        </w:tc>
      </w:tr>
      <w:tr>
        <w:trPr>
          <w:cantSplit w:val="true"/>
        </w:trPr>
        <w:tc>
          <w:tcPr>
            <w:tcW w:type="dxa" w:w="4656"/>
            <w:tcMar>
              <w:top w:w="57" w:type="dxa"/>
              <w:left w:w="57" w:type="dxa"/>
              <w:bottom w:w="57" w:type="dxa"/>
              <w:right w:w="57" w:type="dxa"/>
            </w:tcMar>
          </w:tcPr>
          <w:p>
            <w:r>
              <w:rPr>
                <w:rFonts w:ascii="Arial" w:hAnsi="Arial" w:cs="Arial"/>
                <w:color w:val="000000"/>
                <w:sz w:val="20"/>
              </w:rPr>
              <w:t>Sahkan ketersediaan sumber</w:t>
            </w:r>
          </w:p>
        </w:tc>
        <w:tc>
          <w:tcPr>
            <w:tcW w:type="dxa" w:w="4656"/>
            <w:tcMar>
              <w:top w:w="57" w:type="dxa"/>
              <w:left w:w="57" w:type="dxa"/>
              <w:bottom w:w="57" w:type="dxa"/>
              <w:right w:w="57" w:type="dxa"/>
            </w:tcMar>
          </w:tcPr>
          <w:p>
            <w:r>
              <w:rPr>
                <w:rFonts w:ascii="Arial" w:hAnsi="Arial" w:cs="Arial"/>
                <w:color w:val="000000"/>
                <w:sz w:val="20"/>
              </w:rPr>
              <w:t>Pastikan suite editing, perisian, dan Editor bebas pada tarikh yang dirancang</w:t>
            </w:r>
          </w:p>
        </w:tc>
      </w:tr>
      <w:tr>
        <w:trPr>
          <w:cantSplit w:val="true"/>
        </w:trPr>
        <w:tc>
          <w:tcPr>
            <w:tcW w:type="dxa" w:w="4656"/>
            <w:tcMar>
              <w:top w:w="57" w:type="dxa"/>
              <w:left w:w="57" w:type="dxa"/>
              <w:bottom w:w="57" w:type="dxa"/>
              <w:right w:w="57" w:type="dxa"/>
            </w:tcMar>
          </w:tcPr>
          <w:p>
            <w:r>
              <w:rPr>
                <w:rFonts w:ascii="Arial" w:hAnsi="Arial" w:cs="Arial"/>
                <w:color w:val="000000"/>
                <w:sz w:val="20"/>
              </w:rPr>
              <w:t>Dapatkan pengesahan Producer/pelanggan</w:t>
            </w:r>
          </w:p>
        </w:tc>
        <w:tc>
          <w:tcPr>
            <w:tcW w:type="dxa" w:w="4656"/>
            <w:tcMar>
              <w:top w:w="57" w:type="dxa"/>
              <w:left w:w="57" w:type="dxa"/>
              <w:bottom w:w="57" w:type="dxa"/>
              <w:right w:w="57" w:type="dxa"/>
            </w:tcMar>
          </w:tcPr>
          <w:p>
            <w:r>
              <w:rPr>
                <w:rFonts w:ascii="Arial" w:hAnsi="Arial" w:cs="Arial"/>
                <w:color w:val="000000"/>
                <w:sz w:val="20"/>
              </w:rPr>
              <w:t>Jadual dipersetujui bersama sebelum kerja bermula</w:t>
            </w:r>
          </w:p>
        </w:tc>
      </w:tr>
      <w:tr>
        <w:trPr>
          <w:cantSplit w:val="true"/>
        </w:trPr>
        <w:tc>
          <w:tcPr>
            <w:tcW w:type="dxa" w:w="4656"/>
            <w:tcMar>
              <w:top w:w="57" w:type="dxa"/>
              <w:left w:w="57" w:type="dxa"/>
              <w:bottom w:w="57" w:type="dxa"/>
              <w:right w:w="57" w:type="dxa"/>
            </w:tcMar>
          </w:tcPr>
          <w:p>
            <w:r>
              <w:rPr>
                <w:rFonts w:ascii="Arial" w:hAnsi="Arial" w:cs="Arial"/>
                <w:color w:val="000000"/>
                <w:sz w:val="20"/>
              </w:rPr>
              <w:t>Buka log book suite editing</w:t>
            </w:r>
          </w:p>
        </w:tc>
        <w:tc>
          <w:tcPr>
            <w:tcW w:type="dxa" w:w="4656"/>
            <w:tcMar>
              <w:top w:w="57" w:type="dxa"/>
              <w:left w:w="57" w:type="dxa"/>
              <w:bottom w:w="57" w:type="dxa"/>
              <w:right w:w="57" w:type="dxa"/>
            </w:tcMar>
          </w:tcPr>
          <w:p>
            <w:r>
              <w:rPr>
                <w:rFonts w:ascii="Arial" w:hAnsi="Arial" w:cs="Arial"/>
                <w:color w:val="000000"/>
                <w:sz w:val="20"/>
              </w:rPr>
              <w:t>Merekod penggunaan suite untuk penjejakan dan pengauditan (rujuk P03)</w:t>
            </w:r>
          </w:p>
        </w:tc>
      </w:tr>
      <w:tr>
        <w:trPr>
          <w:cantSplit w:val="true"/>
        </w:trPr>
        <w:tc>
          <w:tcPr>
            <w:tcW w:type="dxa" w:w="4656"/>
            <w:tcMar>
              <w:top w:w="57" w:type="dxa"/>
              <w:left w:w="57" w:type="dxa"/>
              <w:bottom w:w="57" w:type="dxa"/>
              <w:right w:w="57" w:type="dxa"/>
            </w:tcMar>
          </w:tcPr>
          <w:p>
            <w:r>
              <w:rPr>
                <w:rFonts w:ascii="Arial" w:hAnsi="Arial" w:cs="Arial"/>
                <w:color w:val="000000"/>
                <w:sz w:val="20"/>
              </w:rPr>
              <w:t>Hasilkan carta aliran kerja</w:t>
            </w:r>
          </w:p>
        </w:tc>
        <w:tc>
          <w:tcPr>
            <w:tcW w:type="dxa" w:w="4656"/>
            <w:tcMar>
              <w:top w:w="57" w:type="dxa"/>
              <w:left w:w="57" w:type="dxa"/>
              <w:bottom w:w="57" w:type="dxa"/>
              <w:right w:w="57" w:type="dxa"/>
            </w:tcMar>
          </w:tcPr>
          <w:p>
            <w:r>
              <w:rPr>
                <w:rFonts w:ascii="Arial" w:hAnsi="Arial" w:cs="Arial"/>
                <w:color w:val="000000"/>
                <w:sz w:val="20"/>
              </w:rPr>
              <w:t>Dokumen visual yang menggabungkan fasa offline, online, milestone, dan tarikh akhir</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Apakah perbezaan utama antara peringkat offline editing dan online editing dalam sesuatu aliran kerja projek?</w:t>
      </w:r>
    </w:p>
    <w:p>
      <w:pPr>
        <w:spacing w:line="276" w:lineRule="auto" w:after="120"/>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pPr>
        <w:pStyle w:val="ListParagraph"/>
        <w:spacing w:line="276" w:lineRule="auto" w:after="40"/>
        <w:ind w:left="357" w:hanging="357"/>
        <w:jc w:val="left"/>
      </w:pPr>
      <w:r>
        <w:rPr>
          <w:rFonts w:ascii="Arial" w:hAnsi="Arial" w:cs="Arial"/>
          <w:color w:val="000000"/>
          <w:sz w:val="22"/>
        </w:rPr>
        <w:t>• Mengapa penting untuk menyediakan margin masa (buffer) semasa melaksanakan tempoh projek?</w:t>
      </w:r>
    </w:p>
    <w:p>
      <w:pPr>
        <w:spacing w:line="276" w:lineRule="auto" w:after="120"/>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pPr>
        <w:pStyle w:val="ListParagraph"/>
        <w:spacing w:line="276" w:lineRule="auto" w:after="40"/>
        <w:ind w:left="357" w:hanging="357"/>
        <w:jc w:val="left"/>
      </w:pPr>
      <w:r>
        <w:rPr>
          <w:rFonts w:ascii="Arial" w:hAnsi="Arial" w:cs="Arial"/>
          <w:color w:val="000000"/>
          <w:sz w:val="22"/>
        </w:rPr>
        <w:t>• Senaraikan langkah-langkah utama dalam menyediakan jadual kerja (working schedule) bagi sesuatu projek editing.</w:t>
      </w:r>
    </w:p>
    <w:p>
      <w:pPr>
        <w:spacing w:line="276" w:lineRule="auto" w:after="120"/>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dikongsi bersama semua CU IT-072-3:2012 termasuk C01):</w:t>
      </w:r>
    </w:p>
    <w:p>
      <w:pPr>
        <w:pStyle w:val="ListParagraph"/>
        <w:spacing w:line="276" w:lineRule="auto" w:after="40"/>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John Rosenberg (Nov 29, 2010), *The Healthy Edit: Creative Editing Techniques for Perfecting Your Movie*. 1st Ed. Focal Press, ISBN: 978-0240814469</w:t>
      </w:r>
    </w:p>
    <w:p>
      <w:pPr>
        <w:spacing w:line="276" w:lineRule="auto" w:after="120"/>
        <w:jc w:val="left"/>
      </w:pPr>
      <w:r>
        <w:rPr>
          <w:rFonts w:ascii="Arial" w:hAnsi="Arial" w:cs="Arial"/>
          <w:color w:val="000000"/>
          <w:sz w:val="22"/>
        </w:rPr>
        <w:t>Tambahan (rujukan umum industri, disahkan wujud):</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pPr>
        <w:pStyle w:val="ListParagraph"/>
        <w:spacing w:line="276" w:lineRule="auto" w:after="40"/>
        <w:ind w:left="357" w:hanging="357"/>
        <w:jc w:val="left"/>
      </w:pPr>
      <w:r>
        <w:rPr>
          <w:rFonts w:ascii="Arial" w:hAnsi="Arial" w:cs="Arial"/>
          <w:color w:val="000000"/>
          <w:sz w:val="22"/>
        </w:rPr>
        <w:t>• Long, B., &amp; Schenk, S. (2010). *The Digital Filmmaking Handbook* (4th ed.). Course Technology PTR.</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