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IT-072-3:2012-C02 / VISUAL EDITING PREPARATION</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IT-072-3:2012-C02-W04 / Arrange scenes to respected bins</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IT-072-3:2012-C02/NP(4/4)</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Penyusunan Scene ke dalam Bin dalam Proses Persediaan Penyuntingan Visual</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Editing Software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konsep bin dalam perisian NLE.</w:t>
      </w:r>
    </w:p>
    <w:p>
      <w:pPr>
        <w:pStyle w:val="ListParagraph"/>
        <w:spacing w:line="276" w:lineRule="auto" w:after="40"/>
        <w:ind w:left="357" w:hanging="357"/>
        <w:jc w:val="left"/>
      </w:pPr>
      <w:r>
        <w:rPr>
          <w:rFonts w:ascii="Arial" w:hAnsi="Arial" w:cs="Arial"/>
          <w:color w:val="000000"/>
          <w:sz w:val="22"/>
        </w:rPr>
        <w:t>• Mengenal pasti fungsi utama bin bagi Editor.</w:t>
      </w:r>
    </w:p>
    <w:p>
      <w:pPr>
        <w:pStyle w:val="ListParagraph"/>
        <w:spacing w:line="276" w:lineRule="auto" w:after="40"/>
        <w:ind w:left="357" w:hanging="357"/>
        <w:jc w:val="left"/>
      </w:pPr>
      <w:r>
        <w:rPr>
          <w:rFonts w:ascii="Arial" w:hAnsi="Arial" w:cs="Arial"/>
          <w:color w:val="000000"/>
          <w:sz w:val="22"/>
        </w:rPr>
        <w:t>• Membandingkan ciri bin antara perisian NLE yang berbeza.</w:t>
      </w:r>
    </w:p>
    <w:p>
      <w:pPr>
        <w:spacing w:before="120" w:after="120" w:line="276" w:lineRule="auto"/>
        <w:jc w:val="left"/>
      </w:pPr>
      <w:r>
        <w:rPr>
          <w:rFonts w:ascii="Arial" w:hAnsi="Arial" w:cs="Arial"/>
          <w:b/>
          <w:color w:val="000000"/>
          <w:sz w:val="22"/>
        </w:rPr>
        <w:t>1. Definisi Bin</w:t>
      </w:r>
    </w:p>
    <w:p>
      <w:pPr>
        <w:spacing w:line="276" w:lineRule="auto" w:after="120"/>
        <w:jc w:val="left"/>
      </w:pPr>
      <w:r>
        <w:rPr>
          <w:rFonts w:ascii="Arial" w:hAnsi="Arial" w:cs="Arial"/>
          <w:color w:val="000000"/>
          <w:sz w:val="22"/>
        </w:rPr>
        <w:t>Bin ialah struktur folder maya (*virtual folder*) di dalam perisian NLE (Non-Linear Editing) seperti Adobe Premiere Pro, Avid Media Composer atau DaVinci Resolve, digunakan untuk mengelola dan menyusun bahan media (klip video, audio, grafik) tanpa memindahkan lokasi fail sebenar pada storan.</w:t>
      </w:r>
    </w:p>
    <w:p>
      <w:pPr>
        <w:spacing w:before="120" w:after="120" w:line="276" w:lineRule="auto"/>
        <w:jc w:val="left"/>
      </w:pPr>
      <w:r>
        <w:rPr>
          <w:rFonts w:ascii="Arial" w:hAnsi="Arial" w:cs="Arial"/>
          <w:b/>
          <w:color w:val="000000"/>
          <w:sz w:val="22"/>
        </w:rPr>
        <w:t>2. Fungsi dan Perbandingan Ciri Bin</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Perisian NLE</w:t>
            </w:r>
          </w:p>
        </w:tc>
        <w:tc>
          <w:tcPr>
            <w:tcW w:type="dxa" w:w="4656"/>
            <w:tcMar>
              <w:top w:w="57" w:type="dxa"/>
              <w:left w:w="57" w:type="dxa"/>
              <w:bottom w:w="57" w:type="dxa"/>
              <w:right w:w="57" w:type="dxa"/>
            </w:tcMar>
            <w:shd w:val="clear" w:color="auto" w:fill="D9D9D9"/>
          </w:tcPr>
          <w:p>
            <w:r>
              <w:rPr>
                <w:rFonts w:ascii="Arial" w:hAnsi="Arial" w:cs="Arial"/>
                <w:b/>
                <w:color w:val="000000"/>
                <w:sz w:val="20"/>
              </w:rPr>
              <w:t>Ciri Bin Utama</w:t>
            </w:r>
          </w:p>
        </w:tc>
      </w:tr>
      <w:tr>
        <w:trPr>
          <w:cantSplit w:val="true"/>
        </w:trPr>
        <w:tc>
          <w:tcPr>
            <w:tcW w:type="dxa" w:w="4656"/>
            <w:tcMar>
              <w:top w:w="57" w:type="dxa"/>
              <w:left w:w="57" w:type="dxa"/>
              <w:bottom w:w="57" w:type="dxa"/>
              <w:right w:w="57" w:type="dxa"/>
            </w:tcMar>
          </w:tcPr>
          <w:p>
            <w:r>
              <w:rPr>
                <w:rFonts w:ascii="Arial" w:hAnsi="Arial" w:cs="Arial"/>
                <w:color w:val="000000"/>
                <w:sz w:val="20"/>
              </w:rPr>
              <w:t>Avid Media Composer</w:t>
            </w:r>
          </w:p>
        </w:tc>
        <w:tc>
          <w:tcPr>
            <w:tcW w:type="dxa" w:w="4656"/>
            <w:tcMar>
              <w:top w:w="57" w:type="dxa"/>
              <w:left w:w="57" w:type="dxa"/>
              <w:bottom w:w="57" w:type="dxa"/>
              <w:right w:w="57" w:type="dxa"/>
            </w:tcMar>
          </w:tcPr>
          <w:p>
            <w:r>
              <w:rPr>
                <w:rFonts w:ascii="Arial" w:hAnsi="Arial" w:cs="Arial"/>
                <w:color w:val="000000"/>
                <w:sz w:val="20"/>
              </w:rPr>
              <w:t>Sistem bin mantap untuk projek berskala besar (filem/siri TV)</w:t>
            </w:r>
          </w:p>
        </w:tc>
      </w:tr>
      <w:tr>
        <w:trPr>
          <w:cantSplit w:val="true"/>
        </w:trPr>
        <w:tc>
          <w:tcPr>
            <w:tcW w:type="dxa" w:w="4656"/>
            <w:tcMar>
              <w:top w:w="57" w:type="dxa"/>
              <w:left w:w="57" w:type="dxa"/>
              <w:bottom w:w="57" w:type="dxa"/>
              <w:right w:w="57" w:type="dxa"/>
            </w:tcMar>
          </w:tcPr>
          <w:p>
            <w:r>
              <w:rPr>
                <w:rFonts w:ascii="Arial" w:hAnsi="Arial" w:cs="Arial"/>
                <w:color w:val="000000"/>
                <w:sz w:val="20"/>
              </w:rPr>
              <w:t>Adobe Premiere Pro</w:t>
            </w:r>
          </w:p>
        </w:tc>
        <w:tc>
          <w:tcPr>
            <w:tcW w:type="dxa" w:w="4656"/>
            <w:tcMar>
              <w:top w:w="57" w:type="dxa"/>
              <w:left w:w="57" w:type="dxa"/>
              <w:bottom w:w="57" w:type="dxa"/>
              <w:right w:w="57" w:type="dxa"/>
            </w:tcMar>
          </w:tcPr>
          <w:p>
            <w:r>
              <w:rPr>
                <w:rFonts w:ascii="Arial" w:hAnsi="Arial" w:cs="Arial"/>
                <w:color w:val="000000"/>
                <w:sz w:val="20"/>
              </w:rPr>
              <w:t>Integrasi bin dengan Adobe Bridge/Media Browser untuk aliran kerja fleksibel</w:t>
            </w:r>
          </w:p>
        </w:tc>
      </w:tr>
    </w:tbl>
    <w:p>
      <w:pPr>
        <w:spacing w:line="276" w:lineRule="auto" w:after="120"/>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dan membolehkan pelbagai cara paparan (senarai, ikon/thumbnail) untuk memudahkan pengecaman visual klip.</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Bin ialah alat pengurusan media maya yang mempercepatkan akses klip tanpa mengubah lokasi fail sebenar. Setiap perisian NLE mempunyai ciri bin yang sedikit berbeza mengikut skala dan aliran kerja studio.</w:t>
      </w:r>
    </w:p>
    <w:p>
      <w:pPr>
        <w:spacing w:before="120" w:after="120" w:line="276" w:lineRule="auto"/>
        <w:jc w:val="left"/>
      </w:pPr>
      <w:r>
        <w:rPr>
          <w:rFonts w:ascii="Arial" w:hAnsi="Arial" w:cs="Arial"/>
          <w:b/>
          <w:color w:val="000000"/>
          <w:sz w:val="24"/>
        </w:rPr>
        <w:t>Bab 2: Scene Coordination</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tujuan penyelarasan scene.</w:t>
      </w:r>
    </w:p>
    <w:p>
      <w:pPr>
        <w:pStyle w:val="ListParagraph"/>
        <w:spacing w:line="276" w:lineRule="auto" w:after="40"/>
        <w:ind w:left="357" w:hanging="357"/>
        <w:jc w:val="left"/>
      </w:pPr>
      <w:r>
        <w:rPr>
          <w:rFonts w:ascii="Arial" w:hAnsi="Arial" w:cs="Arial"/>
          <w:color w:val="000000"/>
          <w:sz w:val="22"/>
        </w:rPr>
        <w:t>• Menyenaraikan kaedah penyelarasan scene dan kesesuaiannya.</w:t>
      </w:r>
    </w:p>
    <w:p>
      <w:pPr>
        <w:pStyle w:val="ListParagraph"/>
        <w:spacing w:line="276" w:lineRule="auto" w:after="40"/>
        <w:ind w:left="357" w:hanging="357"/>
        <w:jc w:val="left"/>
      </w:pPr>
      <w:r>
        <w:rPr>
          <w:rFonts w:ascii="Arial" w:hAnsi="Arial" w:cs="Arial"/>
          <w:color w:val="000000"/>
          <w:sz w:val="22"/>
        </w:rPr>
        <w:t>• Menentukan pengasingan good take daripada take NG dalam bin.</w:t>
      </w:r>
    </w:p>
    <w:p>
      <w:pPr>
        <w:spacing w:before="120" w:after="120" w:line="276" w:lineRule="auto"/>
        <w:jc w:val="left"/>
      </w:pPr>
      <w:r>
        <w:rPr>
          <w:rFonts w:ascii="Arial" w:hAnsi="Arial" w:cs="Arial"/>
          <w:b/>
          <w:color w:val="000000"/>
          <w:sz w:val="22"/>
        </w:rPr>
        <w:t>1. Definisi dan Tujuan</w:t>
      </w:r>
    </w:p>
    <w:p>
      <w:pPr>
        <w:spacing w:line="276" w:lineRule="auto" w:after="120"/>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w:t>
      </w:r>
    </w:p>
    <w:p>
      <w:pPr>
        <w:spacing w:before="120" w:after="120" w:line="276" w:lineRule="auto"/>
        <w:jc w:val="left"/>
      </w:pPr>
      <w:r>
        <w:rPr>
          <w:rFonts w:ascii="Arial" w:hAnsi="Arial" w:cs="Arial"/>
          <w:b/>
          <w:color w:val="000000"/>
          <w:sz w:val="22"/>
        </w:rPr>
        <w:t>2. Kaedah Penyelarasan Scene</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Kaedah</w:t>
            </w:r>
          </w:p>
        </w:tc>
        <w:tc>
          <w:tcPr>
            <w:tcW w:type="dxa" w:w="4656"/>
            <w:tcMar>
              <w:top w:w="57" w:type="dxa"/>
              <w:left w:w="57" w:type="dxa"/>
              <w:bottom w:w="57" w:type="dxa"/>
              <w:right w:w="57" w:type="dxa"/>
            </w:tcMar>
            <w:shd w:val="clear" w:color="auto" w:fill="D9D9D9"/>
          </w:tcPr>
          <w:p>
            <w:r>
              <w:rPr>
                <w:rFonts w:ascii="Arial" w:hAnsi="Arial" w:cs="Arial"/>
                <w:b/>
                <w:color w:val="000000"/>
                <w:sz w:val="20"/>
              </w:rPr>
              <w:t>Kesesuaian</w:t>
            </w:r>
          </w:p>
        </w:tc>
      </w:tr>
      <w:tr>
        <w:trPr>
          <w:cantSplit w:val="true"/>
        </w:trPr>
        <w:tc>
          <w:tcPr>
            <w:tcW w:type="dxa" w:w="4656"/>
            <w:tcMar>
              <w:top w:w="57" w:type="dxa"/>
              <w:left w:w="57" w:type="dxa"/>
              <w:bottom w:w="57" w:type="dxa"/>
              <w:right w:w="57" w:type="dxa"/>
            </w:tcMar>
          </w:tcPr>
          <w:p>
            <w:r>
              <w:rPr>
                <w:rFonts w:ascii="Arial" w:hAnsi="Arial" w:cs="Arial"/>
                <w:color w:val="000000"/>
                <w:sz w:val="20"/>
              </w:rPr>
              <w:t>Mengikut nombor scene skrip</w:t>
            </w:r>
          </w:p>
        </w:tc>
        <w:tc>
          <w:tcPr>
            <w:tcW w:type="dxa" w:w="4656"/>
            <w:tcMar>
              <w:top w:w="57" w:type="dxa"/>
              <w:left w:w="57" w:type="dxa"/>
              <w:bottom w:w="57" w:type="dxa"/>
              <w:right w:w="57" w:type="dxa"/>
            </w:tcMar>
          </w:tcPr>
          <w:p>
            <w:r>
              <w:rPr>
                <w:rFonts w:ascii="Arial" w:hAnsi="Arial" w:cs="Arial"/>
                <w:color w:val="000000"/>
                <w:sz w:val="20"/>
              </w:rPr>
              <w:t>Mengikuti aliran naratif dengan mudah semasa rough cut</w:t>
            </w:r>
          </w:p>
        </w:tc>
      </w:tr>
      <w:tr>
        <w:trPr>
          <w:cantSplit w:val="true"/>
        </w:trPr>
        <w:tc>
          <w:tcPr>
            <w:tcW w:type="dxa" w:w="4656"/>
            <w:tcMar>
              <w:top w:w="57" w:type="dxa"/>
              <w:left w:w="57" w:type="dxa"/>
              <w:bottom w:w="57" w:type="dxa"/>
              <w:right w:w="57" w:type="dxa"/>
            </w:tcMar>
          </w:tcPr>
          <w:p>
            <w:r>
              <w:rPr>
                <w:rFonts w:ascii="Arial" w:hAnsi="Arial" w:cs="Arial"/>
                <w:color w:val="000000"/>
                <w:sz w:val="20"/>
              </w:rPr>
              <w:t>Mengikut lokasi/hari penggambaran</w:t>
            </w:r>
          </w:p>
        </w:tc>
        <w:tc>
          <w:tcPr>
            <w:tcW w:type="dxa" w:w="4656"/>
            <w:tcMar>
              <w:top w:w="57" w:type="dxa"/>
              <w:left w:w="57" w:type="dxa"/>
              <w:bottom w:w="57" w:type="dxa"/>
              <w:right w:w="57" w:type="dxa"/>
            </w:tcMar>
          </w:tcPr>
          <w:p>
            <w:r>
              <w:rPr>
                <w:rFonts w:ascii="Arial" w:hAnsi="Arial" w:cs="Arial"/>
                <w:color w:val="000000"/>
                <w:sz w:val="20"/>
              </w:rPr>
              <w:t>Produksi berskala besar di mana beberapa scene ditembak pada hari/lokasi yang sama walaupun tidak berturutan dalam naratif akhir</w:t>
            </w:r>
          </w:p>
        </w:tc>
      </w:tr>
      <w:tr>
        <w:trPr>
          <w:cantSplit w:val="true"/>
        </w:trPr>
        <w:tc>
          <w:tcPr>
            <w:tcW w:type="dxa" w:w="4656"/>
            <w:tcMar>
              <w:top w:w="57" w:type="dxa"/>
              <w:left w:w="57" w:type="dxa"/>
              <w:bottom w:w="57" w:type="dxa"/>
              <w:right w:w="57" w:type="dxa"/>
            </w:tcMar>
          </w:tcPr>
          <w:p>
            <w:r>
              <w:rPr>
                <w:rFonts w:ascii="Arial" w:hAnsi="Arial" w:cs="Arial"/>
                <w:color w:val="000000"/>
                <w:sz w:val="20"/>
              </w:rPr>
              <w:t>Mengikut kategori kandungan</w:t>
            </w:r>
          </w:p>
        </w:tc>
        <w:tc>
          <w:tcPr>
            <w:tcW w:type="dxa" w:w="4656"/>
            <w:tcMar>
              <w:top w:w="57" w:type="dxa"/>
              <w:left w:w="57" w:type="dxa"/>
              <w:bottom w:w="57" w:type="dxa"/>
              <w:right w:w="57" w:type="dxa"/>
            </w:tcMar>
          </w:tcPr>
          <w:p>
            <w:r>
              <w:rPr>
                <w:rFonts w:ascii="Arial" w:hAnsi="Arial" w:cs="Arial"/>
                <w:color w:val="000000"/>
                <w:sz w:val="20"/>
              </w:rPr>
              <w:t>Bin berasingan untuk dialog utama, B-roll, muzik, dan grafik — memudahkan pencarian jenis bahan tertentu</w:t>
            </w:r>
          </w:p>
        </w:tc>
      </w:tr>
    </w:tbl>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w:t>
      </w:r>
    </w:p>
    <w:p>
      <w:pPr>
        <w:spacing w:before="120" w:after="120" w:line="276" w:lineRule="auto"/>
        <w:jc w:val="left"/>
      </w:pPr>
      <w:r>
        <w:rPr>
          <w:rFonts w:ascii="Arial" w:hAnsi="Arial" w:cs="Arial"/>
          <w:b/>
          <w:color w:val="000000"/>
          <w:sz w:val="24"/>
        </w:rPr>
        <w:t>Bab 3: Bins Labelling</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konvensyen pelabelan bin yang disyorkan.</w:t>
      </w:r>
    </w:p>
    <w:p>
      <w:pPr>
        <w:pStyle w:val="ListParagraph"/>
        <w:spacing w:line="276" w:lineRule="auto" w:after="40"/>
        <w:ind w:left="357" w:hanging="357"/>
        <w:jc w:val="left"/>
      </w:pPr>
      <w:r>
        <w:rPr>
          <w:rFonts w:ascii="Arial" w:hAnsi="Arial" w:cs="Arial"/>
          <w:color w:val="000000"/>
          <w:sz w:val="22"/>
        </w:rPr>
        <w:t>• Mengenal pasti kesan pelabelan generik terhadap kecekapan kerja.</w:t>
      </w:r>
    </w:p>
    <w:p>
      <w:pPr>
        <w:pStyle w:val="ListParagraph"/>
        <w:spacing w:line="276" w:lineRule="auto" w:after="40"/>
        <w:ind w:left="357" w:hanging="357"/>
        <w:jc w:val="left"/>
      </w:pPr>
      <w:r>
        <w:rPr>
          <w:rFonts w:ascii="Arial" w:hAnsi="Arial" w:cs="Arial"/>
          <w:color w:val="000000"/>
          <w:sz w:val="22"/>
        </w:rPr>
        <w:t>• Menghasilkan senarai bin lengkap untuk pembentangan kepada Producer.</w:t>
      </w:r>
    </w:p>
    <w:p>
      <w:pPr>
        <w:spacing w:before="120" w:after="120" w:line="276" w:lineRule="auto"/>
        <w:jc w:val="left"/>
      </w:pPr>
      <w:r>
        <w:rPr>
          <w:rFonts w:ascii="Arial" w:hAnsi="Arial" w:cs="Arial"/>
          <w:b/>
          <w:color w:val="000000"/>
          <w:sz w:val="22"/>
        </w:rPr>
        <w:t>1. Amalan Pelabelan yang Disyorkan</w:t>
      </w:r>
    </w:p>
    <w:p>
      <w:pPr>
        <w:spacing w:line="276" w:lineRule="auto" w:after="120"/>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Amalan</w:t>
            </w:r>
          </w:p>
        </w:tc>
        <w:tc>
          <w:tcPr>
            <w:tcW w:type="dxa" w:w="4656"/>
            <w:tcMar>
              <w:top w:w="57" w:type="dxa"/>
              <w:left w:w="57" w:type="dxa"/>
              <w:bottom w:w="57" w:type="dxa"/>
              <w:right w:w="57" w:type="dxa"/>
            </w:tcMar>
            <w:shd w:val="clear" w:color="auto" w:fill="D9D9D9"/>
          </w:tcPr>
          <w:p>
            <w:r>
              <w:rPr>
                <w:rFonts w:ascii="Arial" w:hAnsi="Arial" w:cs="Arial"/>
                <w:b/>
                <w:color w:val="000000"/>
                <w:sz w:val="20"/>
              </w:rPr>
              <w:t>Contoh</w:t>
            </w:r>
          </w:p>
        </w:tc>
      </w:tr>
      <w:tr>
        <w:trPr>
          <w:cantSplit w:val="true"/>
        </w:trPr>
        <w:tc>
          <w:tcPr>
            <w:tcW w:type="dxa" w:w="4656"/>
            <w:tcMar>
              <w:top w:w="57" w:type="dxa"/>
              <w:left w:w="57" w:type="dxa"/>
              <w:bottom w:w="57" w:type="dxa"/>
              <w:right w:w="57" w:type="dxa"/>
            </w:tcMar>
          </w:tcPr>
          <w:p>
            <w:r>
              <w:rPr>
                <w:rFonts w:ascii="Arial" w:hAnsi="Arial" w:cs="Arial"/>
                <w:color w:val="000000"/>
                <w:sz w:val="20"/>
              </w:rPr>
              <w:t>Format penamaan konsisten</w:t>
            </w:r>
          </w:p>
        </w:tc>
        <w:tc>
          <w:tcPr>
            <w:tcW w:type="dxa" w:w="4656"/>
            <w:tcMar>
              <w:top w:w="57" w:type="dxa"/>
              <w:left w:w="57" w:type="dxa"/>
              <w:bottom w:w="57" w:type="dxa"/>
              <w:right w:w="57" w:type="dxa"/>
            </w:tcMar>
          </w:tcPr>
          <w:p>
            <w:r>
              <w:rPr>
                <w:rFonts w:ascii="Arial" w:hAnsi="Arial" w:cs="Arial"/>
                <w:color w:val="000000"/>
                <w:sz w:val="20"/>
              </w:rPr>
              <w:t>SC01_INT_PEJABAT (nombor scene, jenis lokasi, nama lokasi)</w:t>
            </w:r>
          </w:p>
        </w:tc>
      </w:tr>
      <w:tr>
        <w:trPr>
          <w:cantSplit w:val="true"/>
        </w:trPr>
        <w:tc>
          <w:tcPr>
            <w:tcW w:type="dxa" w:w="4656"/>
            <w:tcMar>
              <w:top w:w="57" w:type="dxa"/>
              <w:left w:w="57" w:type="dxa"/>
              <w:bottom w:w="57" w:type="dxa"/>
              <w:right w:w="57" w:type="dxa"/>
            </w:tcMar>
          </w:tcPr>
          <w:p>
            <w:r>
              <w:rPr>
                <w:rFonts w:ascii="Arial" w:hAnsi="Arial" w:cs="Arial"/>
                <w:color w:val="000000"/>
                <w:sz w:val="20"/>
              </w:rPr>
              <w:t>Asingkan mengikut jenis media</w:t>
            </w:r>
          </w:p>
        </w:tc>
        <w:tc>
          <w:tcPr>
            <w:tcW w:type="dxa" w:w="4656"/>
            <w:tcMar>
              <w:top w:w="57" w:type="dxa"/>
              <w:left w:w="57" w:type="dxa"/>
              <w:bottom w:w="57" w:type="dxa"/>
              <w:right w:w="57" w:type="dxa"/>
            </w:tcMar>
          </w:tcPr>
          <w:p>
            <w:r>
              <w:rPr>
                <w:rFonts w:ascii="Arial" w:hAnsi="Arial" w:cs="Arial"/>
                <w:color w:val="000000"/>
                <w:sz w:val="20"/>
              </w:rPr>
              <w:t>01_VIDEO, 02_AUDIO, 03_GRAFIK, 04_MUZIK</w:t>
            </w:r>
          </w:p>
        </w:tc>
      </w:tr>
      <w:tr>
        <w:trPr>
          <w:cantSplit w:val="true"/>
        </w:trPr>
        <w:tc>
          <w:tcPr>
            <w:tcW w:type="dxa" w:w="4656"/>
            <w:tcMar>
              <w:top w:w="57" w:type="dxa"/>
              <w:left w:w="57" w:type="dxa"/>
              <w:bottom w:w="57" w:type="dxa"/>
              <w:right w:w="57" w:type="dxa"/>
            </w:tcMar>
          </w:tcPr>
          <w:p>
            <w:r>
              <w:rPr>
                <w:rFonts w:ascii="Arial" w:hAnsi="Arial" w:cs="Arial"/>
                <w:color w:val="000000"/>
                <w:sz w:val="20"/>
              </w:rPr>
              <w:t>Bin khas untuk good take terpilih</w:t>
            </w:r>
          </w:p>
        </w:tc>
        <w:tc>
          <w:tcPr>
            <w:tcW w:type="dxa" w:w="4656"/>
            <w:tcMar>
              <w:top w:w="57" w:type="dxa"/>
              <w:left w:w="57" w:type="dxa"/>
              <w:bottom w:w="57" w:type="dxa"/>
              <w:right w:w="57" w:type="dxa"/>
            </w:tcMar>
          </w:tcPr>
          <w:p>
            <w:r>
              <w:rPr>
                <w:rFonts w:ascii="Arial" w:hAnsi="Arial" w:cs="Arial"/>
                <w:color w:val="000000"/>
                <w:sz w:val="20"/>
              </w:rPr>
              <w:t>Bin "MASTER"/"SELECTS" berasingan daripada bin bahan mentah (*raw footage*)</w:t>
            </w:r>
          </w:p>
        </w:tc>
      </w:tr>
    </w:tbl>
    <w:p>
      <w:pPr>
        <w:spacing w:line="276" w:lineRule="auto" w:after="120"/>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pPr>
        <w:spacing w:before="120" w:after="120" w:line="276" w:lineRule="auto"/>
        <w:jc w:val="left"/>
      </w:pPr>
      <w:r>
        <w:rPr>
          <w:rFonts w:ascii="Arial" w:hAnsi="Arial" w:cs="Arial"/>
          <w:b/>
          <w:color w:val="000000"/>
          <w:sz w:val="22"/>
        </w:rPr>
        <w:t>2. Hasil Akhir: Senarai Bin</w:t>
      </w:r>
    </w:p>
    <w:p>
      <w:pPr>
        <w:spacing w:line="276" w:lineRule="auto" w:after="120"/>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Konvensyen pelabelan yang konsisten dan bermakna memastikan struktur bin kekal jelas untuk seluruh pasukan. Senarai bin yang lengkap menjadi bukti persediaan editing telah selesai mengikut keperluan projek.</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fungsi utama bin dalam perisian NLE, dan mengapa ia penting berbanding hanya menyemak folder storan komputer secara terus?</w:t>
      </w:r>
    </w:p>
    <w:p>
      <w:pPr>
        <w:spacing w:line="276" w:lineRule="auto" w:after="120"/>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pPr>
        <w:pStyle w:val="ListParagraph"/>
        <w:spacing w:line="276" w:lineRule="auto" w:after="40"/>
        <w:ind w:left="357" w:hanging="357"/>
        <w:jc w:val="left"/>
      </w:pPr>
      <w:r>
        <w:rPr>
          <w:rFonts w:ascii="Arial" w:hAnsi="Arial" w:cs="Arial"/>
          <w:color w:val="000000"/>
          <w:sz w:val="22"/>
        </w:rPr>
        <w:t>• Soalan: Berikan dua kaedah penyelarasan scene (scene coordination) dan jelaskan bila setiap kaedah sesuai digunakan.</w:t>
      </w:r>
    </w:p>
    <w:p>
      <w:pPr>
        <w:spacing w:line="276" w:lineRule="auto" w:after="120"/>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pPr>
        <w:pStyle w:val="ListParagraph"/>
        <w:spacing w:line="276" w:lineRule="auto" w:after="40"/>
        <w:ind w:left="357" w:hanging="357"/>
        <w:jc w:val="left"/>
      </w:pPr>
      <w:r>
        <w:rPr>
          <w:rFonts w:ascii="Arial" w:hAnsi="Arial" w:cs="Arial"/>
          <w:color w:val="000000"/>
          <w:sz w:val="22"/>
        </w:rPr>
        <w:t>• Soalan: Mengapa pelabelan bin yang generik seperti "Bin 1", "Bin 2" dianggap amalan yang tidak baik?</w:t>
      </w:r>
    </w:p>
    <w:p>
      <w:pPr>
        <w:spacing w:line="276" w:lineRule="auto" w:after="120"/>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(verbatim daripada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 (industri, disahkan wujud):</w:t>
      </w:r>
    </w:p>
    <w:p>
      <w:pPr>
        <w:pStyle w:val="ListParagraph"/>
        <w:spacing w:line="276" w:lineRule="auto" w:after="40"/>
        <w:ind w:left="357" w:hanging="357"/>
        <w:jc w:val="left"/>
      </w:pPr>
      <w:r>
        <w:rPr>
          <w:rFonts w:ascii="Arial" w:hAnsi="Arial" w:cs="Arial"/>
          <w:color w:val="000000"/>
          <w:sz w:val="22"/>
        </w:rPr>
        <w:t>• Ascher, S., &amp; Pincus, E. (2012). *The Filmmaker's Handbook: A Comprehensive Guide for the Digital Age*. Plume.</w:t>
      </w:r>
    </w:p>
    <w:p>
      <w:pPr>
        <w:pStyle w:val="ListParagraph"/>
        <w:spacing w:line="276" w:lineRule="auto" w:after="40"/>
        <w:ind w:left="357" w:hanging="357"/>
        <w:jc w:val="left"/>
      </w:pPr>
      <w:r>
        <w:rPr>
          <w:rFonts w:ascii="Arial" w:hAnsi="Arial" w:cs="Arial"/>
          <w:color w:val="000000"/>
          <w:sz w:val="22"/>
        </w:rPr>
        <w:t>• Wohl, M. (2002). *Editing Techniques with Final Cut Pro*. Peachpit Press.</w:t>
      </w:r>
    </w:p>
    <w:p>
      <w:pPr>
        <w:pStyle w:val="ListParagraph"/>
        <w:spacing w:line="276" w:lineRule="auto" w:after="40"/>
        <w:ind w:left="357" w:hanging="357"/>
        <w:jc w:val="left"/>
      </w:pPr>
      <w:r>
        <w:rPr>
          <w:rFonts w:ascii="Arial" w:hAnsi="Arial" w:cs="Arial"/>
          <w:color w:val="000000"/>
          <w:sz w:val="22"/>
        </w:rPr>
        <w:t>• Case, D. (2001). *Film Technology in Post Production* (2nd ed.). Focal Press.</w:t>
      </w:r>
    </w:p>
    <w:p>
      <w:pPr>
        <w:spacing w:line="276" w:lineRule="auto" w:after="120"/>
        <w:jc w:val="left"/>
      </w:pPr>
      <w:r>
        <w:rPr>
          <w:rFonts w:ascii="Arial" w:hAnsi="Arial" w:cs="Arial"/>
          <w:color w:val="000000"/>
          <w:sz w:val="22"/>
        </w:rPr>
        <w:t>---</w:t>
      </w:r>
    </w:p>
    <w:p>
      <w:pPr>
        <w:spacing w:line="276" w:lineRule="auto" w:after="120"/>
        <w:jc w:val="left"/>
      </w:pPr>
      <w:r>
        <w:rPr>
          <w:rFonts w:ascii="Arial" w:hAnsi="Arial" w:cs="Arial"/>
          <w:color w:val="000000"/>
          <w:sz w:val="22"/>
        </w:rPr>
        <w:t>⟪TBD: Nama syarikat/studio Bakat ADI — perlu disahkan Jay sebelum hantar Lampiran 5⟫</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