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IT-072-3:2012-C03 / OFFLINE VISUAL EDITING</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IT-072-3:2012-C03-W01 / Perform shot selection</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r>
              <w:rPr>
                <w:rFonts w:ascii="Arial" w:hAnsi="Arial" w:cs="Arial"/>
                <w:color w:val="000000"/>
                <w:sz w:val="20"/>
              </w:rPr>
              <w:t>IT-072-3:2012-C03/NP(1/5)</w:t>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[TBD: no. muka surat]</w:t>
              <w:br/>
              <w:t>31</w:t>
            </w:r>
          </w:p>
        </w:tc>
      </w:tr>
    </w:tbl>
    <w:p>
      <w:pPr>
        <w:spacing w:before="120" w:after="120" w:line="276" w:lineRule="auto"/>
        <w:jc w:val="left"/>
      </w:pPr>
      <w:r>
        <w:rPr>
          <w:rFonts w:ascii="Arial" w:hAnsi="Arial" w:cs="Arial"/>
          <w:b/>
          <w:color w:val="000000"/>
          <w:sz w:val="22"/>
        </w:rPr>
        <w:t>TAJUK:</w:t>
      </w:r>
    </w:p>
    <w:p>
      <w:pPr>
        <w:spacing w:line="276" w:lineRule="auto" w:after="120"/>
        <w:jc w:val="left"/>
      </w:pPr>
      <w:r>
        <w:rPr>
          <w:rFonts w:ascii="Arial" w:hAnsi="Arial" w:cs="Arial"/>
          <w:color w:val="000000"/>
          <w:sz w:val="22"/>
        </w:rPr>
        <w:t>Pemilihan Shot (Shot Selection) dalam Proses Offline Visual Editing</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Nota Pembelajaran ini bertujuan untuk membolehkan Bakat memahami dan melaksanakan proses pemilihan shot bagi tahap offline visual editing, merangkumi topik editing software, bins arrangement, good shots, footages material, script, continuity sheet, shooting board, dan DIT sheet. Selepas melalui nota ini, Bakat dijangka dapat mempratonton footage yang ditangkap dan mengasingkan good shot ke dalam bin yang berkenaan mengikut cue sheet, memilih good shot mengikut keperluan projek, dan membentangkan senarai good shot mengikut keperluan projek — selaras dengan Kriteria Penilaian CoCU CU3-WA1.</w:t>
      </w:r>
    </w:p>
    <w:p/>
    <w:p>
      <w:pPr>
        <w:spacing w:before="120" w:after="120" w:line="276" w:lineRule="auto"/>
        <w:jc w:val="left"/>
      </w:pPr>
      <w:r>
        <w:rPr>
          <w:rFonts w:ascii="Arial" w:hAnsi="Arial" w:cs="Arial"/>
          <w:b/>
          <w:color w:val="000000"/>
          <w:sz w:val="22"/>
        </w:rPr>
        <w:t>PENERANGAN:</w:t>
      </w:r>
    </w:p>
    <w:p>
      <w:pPr>
        <w:spacing w:before="120" w:after="120" w:line="276" w:lineRule="auto"/>
        <w:jc w:val="left"/>
      </w:pPr>
      <w:r>
        <w:rPr>
          <w:rFonts w:ascii="Arial" w:hAnsi="Arial" w:cs="Arial"/>
          <w:b/>
          <w:color w:val="000000"/>
          <w:sz w:val="24"/>
        </w:rPr>
        <w:t>Bab 1: Editing Software</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Mengenal pasti perisian NLE (Non-Linear Editing) utama yang digunakan dalam industri.</w:t>
      </w:r>
    </w:p>
    <w:p>
      <w:pPr>
        <w:pStyle w:val="ListParagraph"/>
        <w:spacing w:line="276" w:lineRule="auto" w:after="40"/>
        <w:ind w:left="357" w:hanging="357"/>
        <w:jc w:val="left"/>
      </w:pPr>
      <w:r>
        <w:rPr>
          <w:rFonts w:ascii="Arial" w:hAnsi="Arial" w:cs="Arial"/>
          <w:color w:val="000000"/>
          <w:sz w:val="22"/>
        </w:rPr>
        <w:t>• Menjelaskan fungsi media browser, marker/rating tool, dan sub-clip untuk pemilihan shot.</w:t>
      </w:r>
    </w:p>
    <w:p>
      <w:pPr>
        <w:pStyle w:val="ListParagraph"/>
        <w:spacing w:line="276" w:lineRule="auto" w:after="40"/>
        <w:ind w:left="357" w:hanging="357"/>
        <w:jc w:val="left"/>
      </w:pPr>
      <w:r>
        <w:rPr>
          <w:rFonts w:ascii="Arial" w:hAnsi="Arial" w:cs="Arial"/>
          <w:color w:val="000000"/>
          <w:sz w:val="22"/>
        </w:rPr>
        <w:t>• Mengaplikasikan amalan menanda shot secara serta-merta semasa pratonton pertama.</w:t>
      </w:r>
    </w:p>
    <w:p>
      <w:pPr>
        <w:spacing w:before="120" w:after="120" w:line="276" w:lineRule="auto"/>
        <w:jc w:val="left"/>
      </w:pPr>
      <w:r>
        <w:rPr>
          <w:rFonts w:ascii="Arial" w:hAnsi="Arial" w:cs="Arial"/>
          <w:b/>
          <w:color w:val="000000"/>
          <w:sz w:val="22"/>
        </w:rPr>
        <w:t>1. Perisian NLE dalam Industri</w:t>
      </w:r>
    </w:p>
    <w:p>
      <w:pPr>
        <w:spacing w:line="276" w:lineRule="auto" w:after="120"/>
        <w:jc w:val="left"/>
      </w:pPr>
      <w:r>
        <w:rPr>
          <w:rFonts w:ascii="Arial" w:hAnsi="Arial" w:cs="Arial"/>
          <w:color w:val="000000"/>
          <w:sz w:val="22"/>
        </w:rPr>
        <w:t>Perisian penyuntingan video (Non-Linear Editing / NLE software) ialah alat asas seorang Editor menjalankan kerja offline editing, termasuk semasa peringkat pemilihan shot.</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Perisian NLE</w:t>
            </w:r>
          </w:p>
        </w:tc>
        <w:tc>
          <w:tcPr>
            <w:tcW w:type="dxa" w:w="4656"/>
            <w:tcMar>
              <w:top w:w="57" w:type="dxa"/>
              <w:left w:w="57" w:type="dxa"/>
              <w:bottom w:w="57" w:type="dxa"/>
              <w:right w:w="57" w:type="dxa"/>
            </w:tcMar>
            <w:shd w:val="clear" w:color="auto" w:fill="D9D9D9"/>
          </w:tcPr>
          <w:p>
            <w:r>
              <w:rPr>
                <w:rFonts w:ascii="Arial" w:hAnsi="Arial" w:cs="Arial"/>
                <w:b/>
                <w:color w:val="000000"/>
                <w:sz w:val="20"/>
              </w:rPr>
              <w:t>Ciri Utama untuk Pemilihan Shot</w:t>
            </w:r>
          </w:p>
        </w:tc>
      </w:tr>
      <w:tr>
        <w:trPr>
          <w:cantSplit w:val="true"/>
        </w:trPr>
        <w:tc>
          <w:tcPr>
            <w:tcW w:type="dxa" w:w="4656"/>
            <w:tcMar>
              <w:top w:w="57" w:type="dxa"/>
              <w:left w:w="57" w:type="dxa"/>
              <w:bottom w:w="57" w:type="dxa"/>
              <w:right w:w="57" w:type="dxa"/>
            </w:tcMar>
          </w:tcPr>
          <w:p>
            <w:r>
              <w:rPr>
                <w:rFonts w:ascii="Arial" w:hAnsi="Arial" w:cs="Arial"/>
                <w:color w:val="000000"/>
                <w:sz w:val="20"/>
              </w:rPr>
              <w:t>Final Cut Pro (FCP)</w:t>
            </w:r>
          </w:p>
        </w:tc>
        <w:tc>
          <w:tcPr>
            <w:tcW w:type="dxa" w:w="4656"/>
            <w:tcMar>
              <w:top w:w="57" w:type="dxa"/>
              <w:left w:w="57" w:type="dxa"/>
              <w:bottom w:w="57" w:type="dxa"/>
              <w:right w:w="57" w:type="dxa"/>
            </w:tcMar>
          </w:tcPr>
          <w:p>
            <w:r>
              <w:rPr>
                <w:rFonts w:ascii="Arial" w:hAnsi="Arial" w:cs="Arial"/>
                <w:color w:val="000000"/>
                <w:sz w:val="20"/>
              </w:rPr>
              <w:t>Media browser &amp; rating (favorite/reject) pantas</w:t>
            </w:r>
          </w:p>
        </w:tc>
      </w:tr>
      <w:tr>
        <w:trPr>
          <w:cantSplit w:val="true"/>
        </w:trPr>
        <w:tc>
          <w:tcPr>
            <w:tcW w:type="dxa" w:w="4656"/>
            <w:tcMar>
              <w:top w:w="57" w:type="dxa"/>
              <w:left w:w="57" w:type="dxa"/>
              <w:bottom w:w="57" w:type="dxa"/>
              <w:right w:w="57" w:type="dxa"/>
            </w:tcMar>
          </w:tcPr>
          <w:p>
            <w:r>
              <w:rPr>
                <w:rFonts w:ascii="Arial" w:hAnsi="Arial" w:cs="Arial"/>
                <w:color w:val="000000"/>
                <w:sz w:val="20"/>
              </w:rPr>
              <w:t>Avid Media Composer / Symphony</w:t>
            </w:r>
          </w:p>
        </w:tc>
        <w:tc>
          <w:tcPr>
            <w:tcW w:type="dxa" w:w="4656"/>
            <w:tcMar>
              <w:top w:w="57" w:type="dxa"/>
              <w:left w:w="57" w:type="dxa"/>
              <w:bottom w:w="57" w:type="dxa"/>
              <w:right w:w="57" w:type="dxa"/>
            </w:tcMar>
          </w:tcPr>
          <w:p>
            <w:r>
              <w:rPr>
                <w:rFonts w:ascii="Arial" w:hAnsi="Arial" w:cs="Arial"/>
                <w:color w:val="000000"/>
                <w:sz w:val="20"/>
              </w:rPr>
              <w:t>Bin locking untuk kerja berbilang editor</w:t>
            </w:r>
          </w:p>
        </w:tc>
      </w:tr>
      <w:tr>
        <w:trPr>
          <w:cantSplit w:val="true"/>
        </w:trPr>
        <w:tc>
          <w:tcPr>
            <w:tcW w:type="dxa" w:w="4656"/>
            <w:tcMar>
              <w:top w:w="57" w:type="dxa"/>
              <w:left w:w="57" w:type="dxa"/>
              <w:bottom w:w="57" w:type="dxa"/>
              <w:right w:w="57" w:type="dxa"/>
            </w:tcMar>
          </w:tcPr>
          <w:p>
            <w:r>
              <w:rPr>
                <w:rFonts w:ascii="Arial" w:hAnsi="Arial" w:cs="Arial"/>
                <w:color w:val="000000"/>
                <w:sz w:val="20"/>
              </w:rPr>
              <w:t>Sony Vegas</w:t>
            </w:r>
          </w:p>
        </w:tc>
        <w:tc>
          <w:tcPr>
            <w:tcW w:type="dxa" w:w="4656"/>
            <w:tcMar>
              <w:top w:w="57" w:type="dxa"/>
              <w:left w:w="57" w:type="dxa"/>
              <w:bottom w:w="57" w:type="dxa"/>
              <w:right w:w="57" w:type="dxa"/>
            </w:tcMar>
          </w:tcPr>
          <w:p>
            <w:r>
              <w:rPr>
                <w:rFonts w:ascii="Arial" w:hAnsi="Arial" w:cs="Arial"/>
                <w:color w:val="000000"/>
                <w:sz w:val="20"/>
              </w:rPr>
              <w:t>Timeline berlapis fleksibel</w:t>
            </w:r>
          </w:p>
        </w:tc>
      </w:tr>
      <w:tr>
        <w:trPr>
          <w:cantSplit w:val="true"/>
        </w:trPr>
        <w:tc>
          <w:tcPr>
            <w:tcW w:type="dxa" w:w="4656"/>
            <w:tcMar>
              <w:top w:w="57" w:type="dxa"/>
              <w:left w:w="57" w:type="dxa"/>
              <w:bottom w:w="57" w:type="dxa"/>
              <w:right w:w="57" w:type="dxa"/>
            </w:tcMar>
          </w:tcPr>
          <w:p>
            <w:r>
              <w:rPr>
                <w:rFonts w:ascii="Arial" w:hAnsi="Arial" w:cs="Arial"/>
                <w:color w:val="000000"/>
                <w:sz w:val="20"/>
              </w:rPr>
              <w:t>Adobe Premiere Pro</w:t>
            </w:r>
          </w:p>
        </w:tc>
        <w:tc>
          <w:tcPr>
            <w:tcW w:type="dxa" w:w="4656"/>
            <w:tcMar>
              <w:top w:w="57" w:type="dxa"/>
              <w:left w:w="57" w:type="dxa"/>
              <w:bottom w:w="57" w:type="dxa"/>
              <w:right w:w="57" w:type="dxa"/>
            </w:tcMar>
          </w:tcPr>
          <w:p>
            <w:r>
              <w:rPr>
                <w:rFonts w:ascii="Arial" w:hAnsi="Arial" w:cs="Arial"/>
                <w:color w:val="000000"/>
                <w:sz w:val="20"/>
              </w:rPr>
              <w:t>Marker &amp; label warna klip</w:t>
            </w:r>
          </w:p>
        </w:tc>
      </w:tr>
      <w:tr>
        <w:trPr>
          <w:cantSplit w:val="true"/>
        </w:trPr>
        <w:tc>
          <w:tcPr>
            <w:tcW w:type="dxa" w:w="4656"/>
            <w:tcMar>
              <w:top w:w="57" w:type="dxa"/>
              <w:left w:w="57" w:type="dxa"/>
              <w:bottom w:w="57" w:type="dxa"/>
              <w:right w:w="57" w:type="dxa"/>
            </w:tcMar>
          </w:tcPr>
          <w:p>
            <w:r>
              <w:rPr>
                <w:rFonts w:ascii="Arial" w:hAnsi="Arial" w:cs="Arial"/>
                <w:color w:val="000000"/>
                <w:sz w:val="20"/>
              </w:rPr>
              <w:t>Canopus Edius</w:t>
            </w:r>
          </w:p>
        </w:tc>
        <w:tc>
          <w:tcPr>
            <w:tcW w:type="dxa" w:w="4656"/>
            <w:tcMar>
              <w:top w:w="57" w:type="dxa"/>
              <w:left w:w="57" w:type="dxa"/>
              <w:bottom w:w="57" w:type="dxa"/>
              <w:right w:w="57" w:type="dxa"/>
            </w:tcMar>
          </w:tcPr>
          <w:p>
            <w:r>
              <w:rPr>
                <w:rFonts w:ascii="Arial" w:hAnsi="Arial" w:cs="Arial"/>
                <w:color w:val="000000"/>
                <w:sz w:val="20"/>
              </w:rPr>
              <w:t>Native format tanpa transcode</w:t>
            </w:r>
          </w:p>
        </w:tc>
      </w:tr>
      <w:tr>
        <w:trPr>
          <w:cantSplit w:val="true"/>
        </w:trPr>
        <w:tc>
          <w:tcPr>
            <w:tcW w:type="dxa" w:w="4656"/>
            <w:tcMar>
              <w:top w:w="57" w:type="dxa"/>
              <w:left w:w="57" w:type="dxa"/>
              <w:bottom w:w="57" w:type="dxa"/>
              <w:right w:w="57" w:type="dxa"/>
            </w:tcMar>
          </w:tcPr>
          <w:p>
            <w:r>
              <w:rPr>
                <w:rFonts w:ascii="Arial" w:hAnsi="Arial" w:cs="Arial"/>
                <w:color w:val="000000"/>
                <w:sz w:val="20"/>
              </w:rPr>
              <w:t>AutoDesk Smoke</w:t>
            </w:r>
          </w:p>
        </w:tc>
        <w:tc>
          <w:tcPr>
            <w:tcW w:type="dxa" w:w="4656"/>
            <w:tcMar>
              <w:top w:w="57" w:type="dxa"/>
              <w:left w:w="57" w:type="dxa"/>
              <w:bottom w:w="57" w:type="dxa"/>
              <w:right w:w="57" w:type="dxa"/>
            </w:tcMar>
          </w:tcPr>
          <w:p>
            <w:r>
              <w:rPr>
                <w:rFonts w:ascii="Arial" w:hAnsi="Arial" w:cs="Arial"/>
                <w:color w:val="000000"/>
                <w:sz w:val="20"/>
              </w:rPr>
              <w:t>Gabungan editing dan finishing dalam satu platform</w:t>
            </w:r>
          </w:p>
        </w:tc>
      </w:tr>
    </w:tbl>
    <w:p>
      <w:pPr>
        <w:spacing w:before="120" w:after="120" w:line="276" w:lineRule="auto"/>
        <w:jc w:val="left"/>
      </w:pPr>
      <w:r>
        <w:rPr>
          <w:rFonts w:ascii="Arial" w:hAnsi="Arial" w:cs="Arial"/>
          <w:b/>
          <w:color w:val="000000"/>
          <w:sz w:val="22"/>
        </w:rPr>
        <w:t>2. Ciri Utama untuk Pemilihan Shot</w:t>
      </w:r>
    </w:p>
    <w:p>
      <w:pPr>
        <w:spacing w:line="276" w:lineRule="auto" w:after="120"/>
        <w:jc w:val="left"/>
      </w:pPr>
      <w:r>
        <w:rPr>
          <w:rFonts w:ascii="Arial" w:hAnsi="Arial" w:cs="Arial"/>
          <w:color w:val="000000"/>
          <w:sz w:val="22"/>
        </w:rPr>
        <w:t>Bagi tujuan pemilihan shot, ciri utama yang digunakan dalam mana-mana NLE ialah media browser/bin panel yang memaparkan semua klip yang telah di-ingest; marker/rating tool yang membenarkan Editor menanda shot sebagai "selected", "good take", atau "reject" tanpa memadam fail sumber; dan sub-clip/in-out point yang membolehkan Editor menetapkan hanya bahagian terbaik sesuatu klip panjang untuk digunakan.</w:t>
      </w:r>
    </w:p>
    <w:p>
      <w:pPr>
        <w:spacing w:before="120" w:after="120" w:line="276" w:lineRule="auto"/>
        <w:jc w:val="left"/>
      </w:pPr>
      <w:r>
        <w:rPr>
          <w:rFonts w:ascii="Arial" w:hAnsi="Arial" w:cs="Arial"/>
          <w:b/>
          <w:color w:val="000000"/>
          <w:sz w:val="22"/>
        </w:rPr>
        <w:t>3. Amalan Studio</w:t>
      </w:r>
    </w:p>
    <w:p>
      <w:pPr>
        <w:spacing w:line="276" w:lineRule="auto" w:after="120"/>
        <w:jc w:val="left"/>
      </w:pPr>
      <w:r>
        <w:rPr>
          <w:rFonts w:ascii="Arial" w:hAnsi="Arial" w:cs="Arial"/>
          <w:color w:val="000000"/>
          <w:sz w:val="22"/>
        </w:rPr>
        <w:t>Editor perlu mahir dengan sekurang-kurangnya satu NLE utama syarikat, kerana kelajuan dan ketepatan pemilihan shot amat bergantung kepada kefasihan menggunakan ciri navigasi dan penandaan perisian tersebut. Kesilapan biasa peringkat baharu ialah menghabiskan masa mempratonton semula footage kerana tidak menanda shot semasa preview pertama — amalan baik studio ialah menanda serta-merta apabila good shot dikenal pasti, supaya masa pratonton tidak berulang.</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Kefasihan menggunakan ciri media browser, marker, dan sub-clip pada perisian NLE pilihan syarikat adalah asas kepada kelajuan dan ketepatan kerja pemilihan shot. Amalan menanda shot serta-merta mengelakkan pembaziran masa pratonton berulang.</w:t>
      </w:r>
    </w:p>
    <w:p>
      <w:pPr>
        <w:spacing w:before="120" w:after="120" w:line="276" w:lineRule="auto"/>
        <w:jc w:val="left"/>
      </w:pPr>
      <w:r>
        <w:rPr>
          <w:rFonts w:ascii="Arial" w:hAnsi="Arial" w:cs="Arial"/>
          <w:b/>
          <w:color w:val="000000"/>
          <w:sz w:val="24"/>
        </w:rPr>
        <w:t>Bab 2: Bins Arrangement</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Mentakrifkan fungsi bin dalam projek NLE.</w:t>
      </w:r>
    </w:p>
    <w:p>
      <w:pPr>
        <w:pStyle w:val="ListParagraph"/>
        <w:spacing w:line="276" w:lineRule="auto" w:after="40"/>
        <w:ind w:left="357" w:hanging="357"/>
        <w:jc w:val="left"/>
      </w:pPr>
      <w:r>
        <w:rPr>
          <w:rFonts w:ascii="Arial" w:hAnsi="Arial" w:cs="Arial"/>
          <w:color w:val="000000"/>
          <w:sz w:val="22"/>
        </w:rPr>
        <w:t>• Menyusun bin mengikut peringkat (hari/lokasi, scene, jenis) mengikut amalan industri.</w:t>
      </w:r>
    </w:p>
    <w:p>
      <w:pPr>
        <w:pStyle w:val="ListParagraph"/>
        <w:spacing w:line="276" w:lineRule="auto" w:after="40"/>
        <w:ind w:left="357" w:hanging="357"/>
        <w:jc w:val="left"/>
      </w:pPr>
      <w:r>
        <w:rPr>
          <w:rFonts w:ascii="Arial" w:hAnsi="Arial" w:cs="Arial"/>
          <w:color w:val="000000"/>
          <w:sz w:val="22"/>
        </w:rPr>
        <w:t>• Mengaitkan susunan bin yang baik dengan proses handover projek.</w:t>
      </w:r>
    </w:p>
    <w:p>
      <w:pPr>
        <w:spacing w:before="120" w:after="120" w:line="276" w:lineRule="auto"/>
        <w:jc w:val="left"/>
      </w:pPr>
      <w:r>
        <w:rPr>
          <w:rFonts w:ascii="Arial" w:hAnsi="Arial" w:cs="Arial"/>
          <w:b/>
          <w:color w:val="000000"/>
          <w:sz w:val="22"/>
        </w:rPr>
        <w:t>1. Definisi dan Fungsi Bin</w:t>
      </w:r>
    </w:p>
    <w:p>
      <w:pPr>
        <w:spacing w:line="276" w:lineRule="auto" w:after="120"/>
        <w:jc w:val="left"/>
      </w:pPr>
      <w:r>
        <w:rPr>
          <w:rFonts w:ascii="Arial" w:hAnsi="Arial" w:cs="Arial"/>
          <w:color w:val="000000"/>
          <w:sz w:val="22"/>
        </w:rPr>
        <w:t>Bin ialah folder maya di dalam projek NLE tempat klip disusun mengikut kategori supaya mudah dicari semula. Susunan bin yang baik adalah kritikal apabila projek mempunyai ratusan hingga ribuan klip footage mentah.</w:t>
      </w:r>
    </w:p>
    <w:p>
      <w:pPr>
        <w:spacing w:before="120" w:after="120" w:line="276" w:lineRule="auto"/>
        <w:jc w:val="left"/>
      </w:pPr>
      <w:r>
        <w:rPr>
          <w:rFonts w:ascii="Arial" w:hAnsi="Arial" w:cs="Arial"/>
          <w:b/>
          <w:color w:val="000000"/>
          <w:sz w:val="22"/>
        </w:rPr>
        <w:t>2. Struktur Bin Standard Industri</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Peringkat Bin</w:t>
            </w:r>
          </w:p>
        </w:tc>
        <w:tc>
          <w:tcPr>
            <w:tcW w:type="dxa" w:w="4656"/>
            <w:tcMar>
              <w:top w:w="57" w:type="dxa"/>
              <w:left w:w="57" w:type="dxa"/>
              <w:bottom w:w="57" w:type="dxa"/>
              <w:right w:w="57" w:type="dxa"/>
            </w:tcMar>
            <w:shd w:val="clear" w:color="auto" w:fill="D9D9D9"/>
          </w:tcPr>
          <w:p>
            <w:r>
              <w:rPr>
                <w:rFonts w:ascii="Arial" w:hAnsi="Arial" w:cs="Arial"/>
                <w:b/>
                <w:color w:val="000000"/>
                <w:sz w:val="20"/>
              </w:rPr>
              <w:t>Kandungan</w:t>
            </w:r>
          </w:p>
        </w:tc>
      </w:tr>
      <w:tr>
        <w:trPr>
          <w:cantSplit w:val="true"/>
        </w:trPr>
        <w:tc>
          <w:tcPr>
            <w:tcW w:type="dxa" w:w="4656"/>
            <w:tcMar>
              <w:top w:w="57" w:type="dxa"/>
              <w:left w:w="57" w:type="dxa"/>
              <w:bottom w:w="57" w:type="dxa"/>
              <w:right w:w="57" w:type="dxa"/>
            </w:tcMar>
          </w:tcPr>
          <w:p>
            <w:r>
              <w:rPr>
                <w:rFonts w:ascii="Arial" w:hAnsi="Arial" w:cs="Arial"/>
                <w:color w:val="000000"/>
                <w:sz w:val="20"/>
              </w:rPr>
              <w:t>Bin utama (top-level)</w:t>
            </w:r>
          </w:p>
        </w:tc>
        <w:tc>
          <w:tcPr>
            <w:tcW w:type="dxa" w:w="4656"/>
            <w:tcMar>
              <w:top w:w="57" w:type="dxa"/>
              <w:left w:w="57" w:type="dxa"/>
              <w:bottom w:w="57" w:type="dxa"/>
              <w:right w:w="57" w:type="dxa"/>
            </w:tcMar>
          </w:tcPr>
          <w:p>
            <w:r>
              <w:rPr>
                <w:rFonts w:ascii="Arial" w:hAnsi="Arial" w:cs="Arial"/>
                <w:color w:val="000000"/>
                <w:sz w:val="20"/>
              </w:rPr>
              <w:t>Mengikut hari rakaman (Day 1, Day 2, ...) atau lokasi</w:t>
            </w:r>
          </w:p>
        </w:tc>
      </w:tr>
      <w:tr>
        <w:trPr>
          <w:cantSplit w:val="true"/>
        </w:trPr>
        <w:tc>
          <w:tcPr>
            <w:tcW w:type="dxa" w:w="4656"/>
            <w:tcMar>
              <w:top w:w="57" w:type="dxa"/>
              <w:left w:w="57" w:type="dxa"/>
              <w:bottom w:w="57" w:type="dxa"/>
              <w:right w:w="57" w:type="dxa"/>
            </w:tcMar>
          </w:tcPr>
          <w:p>
            <w:r>
              <w:rPr>
                <w:rFonts w:ascii="Arial" w:hAnsi="Arial" w:cs="Arial"/>
                <w:color w:val="000000"/>
                <w:sz w:val="20"/>
              </w:rPr>
              <w:t>Sub-bin</w:t>
            </w:r>
          </w:p>
        </w:tc>
        <w:tc>
          <w:tcPr>
            <w:tcW w:type="dxa" w:w="4656"/>
            <w:tcMar>
              <w:top w:w="57" w:type="dxa"/>
              <w:left w:w="57" w:type="dxa"/>
              <w:bottom w:w="57" w:type="dxa"/>
              <w:right w:w="57" w:type="dxa"/>
            </w:tcMar>
          </w:tcPr>
          <w:p>
            <w:r>
              <w:rPr>
                <w:rFonts w:ascii="Arial" w:hAnsi="Arial" w:cs="Arial"/>
                <w:color w:val="000000"/>
                <w:sz w:val="20"/>
              </w:rPr>
              <w:t>Mengikut scene (Scene 1, Scene 2, ...)</w:t>
            </w:r>
          </w:p>
        </w:tc>
      </w:tr>
      <w:tr>
        <w:trPr>
          <w:cantSplit w:val="true"/>
        </w:trPr>
        <w:tc>
          <w:tcPr>
            <w:tcW w:type="dxa" w:w="4656"/>
            <w:tcMar>
              <w:top w:w="57" w:type="dxa"/>
              <w:left w:w="57" w:type="dxa"/>
              <w:bottom w:w="57" w:type="dxa"/>
              <w:right w:w="57" w:type="dxa"/>
            </w:tcMar>
          </w:tcPr>
          <w:p>
            <w:r>
              <w:rPr>
                <w:rFonts w:ascii="Arial" w:hAnsi="Arial" w:cs="Arial"/>
                <w:color w:val="000000"/>
                <w:sz w:val="20"/>
              </w:rPr>
              <w:t>Sub-sub-bin (jika perlu)</w:t>
            </w:r>
          </w:p>
        </w:tc>
        <w:tc>
          <w:tcPr>
            <w:tcW w:type="dxa" w:w="4656"/>
            <w:tcMar>
              <w:top w:w="57" w:type="dxa"/>
              <w:left w:w="57" w:type="dxa"/>
              <w:bottom w:w="57" w:type="dxa"/>
              <w:right w:w="57" w:type="dxa"/>
            </w:tcMar>
          </w:tcPr>
          <w:p>
            <w:r>
              <w:rPr>
                <w:rFonts w:ascii="Arial" w:hAnsi="Arial" w:cs="Arial"/>
                <w:color w:val="000000"/>
                <w:sz w:val="20"/>
              </w:rPr>
              <w:t>Mengikut jenis (A-Cam, B-Cam, Audio, B-roll)</w:t>
            </w:r>
          </w:p>
        </w:tc>
      </w:tr>
    </w:tbl>
    <w:p>
      <w:pPr>
        <w:spacing w:before="120" w:after="120" w:line="276" w:lineRule="auto"/>
        <w:jc w:val="left"/>
      </w:pPr>
      <w:r>
        <w:rPr>
          <w:rFonts w:ascii="Arial" w:hAnsi="Arial" w:cs="Arial"/>
          <w:b/>
          <w:color w:val="000000"/>
          <w:sz w:val="22"/>
        </w:rPr>
        <w:t>3. Kaitan dengan Proses Kerja (P05)</w:t>
      </w:r>
    </w:p>
    <w:p>
      <w:pPr>
        <w:spacing w:line="276" w:lineRule="auto" w:after="120"/>
        <w:jc w:val="left"/>
      </w:pPr>
      <w:r>
        <w:rPr>
          <w:rFonts w:ascii="Arial" w:hAnsi="Arial" w:cs="Arial"/>
          <w:color w:val="000000"/>
          <w:sz w:val="22"/>
        </w:rPr>
        <w:t>Setiap bin scene hendaklah mengandungi hanya footage yang berkaitan scene tersebut, hasil daripada proses pratonton dan pengasingan berdasarkan cue sheet (rujuk Bab 6). Bin yang tersusun rapi membolehkan editor lain (contohnya semasa handover atau semakan Producer) memahami struktur projek tanpa penjelasan lanjut — ini juga menjadi sebahagian daripada bukti kerja P05.</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Bin yang disusun mengikut hierarki hari/lokasi → scene → jenis footage membolehkan pencarian klip yang cekap dan handover projek yang lancar antara ahli pasukan editing.</w:t>
      </w:r>
    </w:p>
    <w:p>
      <w:pPr>
        <w:spacing w:before="120" w:after="120" w:line="276" w:lineRule="auto"/>
        <w:jc w:val="left"/>
      </w:pPr>
      <w:r>
        <w:rPr>
          <w:rFonts w:ascii="Arial" w:hAnsi="Arial" w:cs="Arial"/>
          <w:b/>
          <w:color w:val="000000"/>
          <w:sz w:val="24"/>
        </w:rPr>
        <w:t>Bab 3: Good Shots</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Menyenaraikan kriteria teknikal dan artistik bagi menentukan good shot.</w:t>
      </w:r>
    </w:p>
    <w:p>
      <w:pPr>
        <w:pStyle w:val="ListParagraph"/>
        <w:spacing w:line="276" w:lineRule="auto" w:after="40"/>
        <w:ind w:left="357" w:hanging="357"/>
        <w:jc w:val="left"/>
      </w:pPr>
      <w:r>
        <w:rPr>
          <w:rFonts w:ascii="Arial" w:hAnsi="Arial" w:cs="Arial"/>
          <w:color w:val="000000"/>
          <w:sz w:val="22"/>
        </w:rPr>
        <w:t>• Membezakan shot yang diterima dengan shot berstatus "No Good (NG)".</w:t>
      </w:r>
    </w:p>
    <w:p>
      <w:pPr>
        <w:pStyle w:val="ListParagraph"/>
        <w:spacing w:line="276" w:lineRule="auto" w:after="40"/>
        <w:ind w:left="357" w:hanging="357"/>
        <w:jc w:val="left"/>
      </w:pPr>
      <w:r>
        <w:rPr>
          <w:rFonts w:ascii="Arial" w:hAnsi="Arial" w:cs="Arial"/>
          <w:color w:val="000000"/>
          <w:sz w:val="22"/>
        </w:rPr>
        <w:t>• Mengaplikasikan kriteria tersebut semasa pratonton footage sebenar.</w:t>
      </w:r>
    </w:p>
    <w:p>
      <w:pPr>
        <w:spacing w:before="120" w:after="120" w:line="276" w:lineRule="auto"/>
        <w:jc w:val="left"/>
      </w:pPr>
      <w:r>
        <w:rPr>
          <w:rFonts w:ascii="Arial" w:hAnsi="Arial" w:cs="Arial"/>
          <w:b/>
          <w:color w:val="000000"/>
          <w:sz w:val="22"/>
        </w:rPr>
        <w:t>1. Kriteria Penilaian Good Shot</w:t>
      </w:r>
    </w:p>
    <w:p>
      <w:pPr>
        <w:spacing w:line="276" w:lineRule="auto" w:after="120"/>
        <w:jc w:val="left"/>
      </w:pPr>
      <w:r>
        <w:rPr>
          <w:rFonts w:ascii="Arial" w:hAnsi="Arial" w:cs="Arial"/>
          <w:color w:val="000000"/>
          <w:sz w:val="22"/>
        </w:rPr>
        <w:t>"Good shot" atau "good take" merujuk kepada rakaman yang memenuhi kriteria teknikal dan artistik untuk digunakan dalam produk akhir.</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Kriteria</w:t>
            </w:r>
          </w:p>
        </w:tc>
        <w:tc>
          <w:tcPr>
            <w:tcW w:type="dxa" w:w="4656"/>
            <w:tcMar>
              <w:top w:w="57" w:type="dxa"/>
              <w:left w:w="57" w:type="dxa"/>
              <w:bottom w:w="57" w:type="dxa"/>
              <w:right w:w="57" w:type="dxa"/>
            </w:tcMar>
            <w:shd w:val="clear" w:color="auto" w:fill="D9D9D9"/>
          </w:tcPr>
          <w:p>
            <w:r>
              <w:rPr>
                <w:rFonts w:ascii="Arial" w:hAnsi="Arial" w:cs="Arial"/>
                <w:b/>
                <w:color w:val="000000"/>
                <w:sz w:val="20"/>
              </w:rPr>
              <w:t>Penerangan</w:t>
            </w:r>
          </w:p>
        </w:tc>
      </w:tr>
      <w:tr>
        <w:trPr>
          <w:cantSplit w:val="true"/>
        </w:trPr>
        <w:tc>
          <w:tcPr>
            <w:tcW w:type="dxa" w:w="4656"/>
            <w:tcMar>
              <w:top w:w="57" w:type="dxa"/>
              <w:left w:w="57" w:type="dxa"/>
              <w:bottom w:w="57" w:type="dxa"/>
              <w:right w:w="57" w:type="dxa"/>
            </w:tcMar>
          </w:tcPr>
          <w:p>
            <w:r>
              <w:rPr>
                <w:rFonts w:ascii="Arial" w:hAnsi="Arial" w:cs="Arial"/>
                <w:color w:val="000000"/>
                <w:sz w:val="20"/>
              </w:rPr>
              <w:t>Fokus (focus)</w:t>
            </w:r>
          </w:p>
        </w:tc>
        <w:tc>
          <w:tcPr>
            <w:tcW w:type="dxa" w:w="4656"/>
            <w:tcMar>
              <w:top w:w="57" w:type="dxa"/>
              <w:left w:w="57" w:type="dxa"/>
              <w:bottom w:w="57" w:type="dxa"/>
              <w:right w:w="57" w:type="dxa"/>
            </w:tcMar>
          </w:tcPr>
          <w:p>
            <w:r>
              <w:rPr>
                <w:rFonts w:ascii="Arial" w:hAnsi="Arial" w:cs="Arial"/>
                <w:color w:val="000000"/>
                <w:sz w:val="20"/>
              </w:rPr>
              <w:t>Imej tajam pada subjek utama, tiada "soft focus" tidak disengajakan</w:t>
            </w:r>
          </w:p>
        </w:tc>
      </w:tr>
      <w:tr>
        <w:trPr>
          <w:cantSplit w:val="true"/>
        </w:trPr>
        <w:tc>
          <w:tcPr>
            <w:tcW w:type="dxa" w:w="4656"/>
            <w:tcMar>
              <w:top w:w="57" w:type="dxa"/>
              <w:left w:w="57" w:type="dxa"/>
              <w:bottom w:w="57" w:type="dxa"/>
              <w:right w:w="57" w:type="dxa"/>
            </w:tcMar>
          </w:tcPr>
          <w:p>
            <w:r>
              <w:rPr>
                <w:rFonts w:ascii="Arial" w:hAnsi="Arial" w:cs="Arial"/>
                <w:color w:val="000000"/>
                <w:sz w:val="20"/>
              </w:rPr>
              <w:t>Pendedahan (exposure)</w:t>
            </w:r>
          </w:p>
        </w:tc>
        <w:tc>
          <w:tcPr>
            <w:tcW w:type="dxa" w:w="4656"/>
            <w:tcMar>
              <w:top w:w="57" w:type="dxa"/>
              <w:left w:w="57" w:type="dxa"/>
              <w:bottom w:w="57" w:type="dxa"/>
              <w:right w:w="57" w:type="dxa"/>
            </w:tcMar>
          </w:tcPr>
          <w:p>
            <w:r>
              <w:rPr>
                <w:rFonts w:ascii="Arial" w:hAnsi="Arial" w:cs="Arial"/>
                <w:color w:val="000000"/>
                <w:sz w:val="20"/>
              </w:rPr>
              <w:t>Pencahayaan seimbang, tiada bahagian underexposed/overexposed</w:t>
            </w:r>
          </w:p>
        </w:tc>
      </w:tr>
      <w:tr>
        <w:trPr>
          <w:cantSplit w:val="true"/>
        </w:trPr>
        <w:tc>
          <w:tcPr>
            <w:tcW w:type="dxa" w:w="4656"/>
            <w:tcMar>
              <w:top w:w="57" w:type="dxa"/>
              <w:left w:w="57" w:type="dxa"/>
              <w:bottom w:w="57" w:type="dxa"/>
              <w:right w:w="57" w:type="dxa"/>
            </w:tcMar>
          </w:tcPr>
          <w:p>
            <w:r>
              <w:rPr>
                <w:rFonts w:ascii="Arial" w:hAnsi="Arial" w:cs="Arial"/>
                <w:color w:val="000000"/>
                <w:sz w:val="20"/>
              </w:rPr>
              <w:t>Komposisi (composition)</w:t>
            </w:r>
          </w:p>
        </w:tc>
        <w:tc>
          <w:tcPr>
            <w:tcW w:type="dxa" w:w="4656"/>
            <w:tcMar>
              <w:top w:w="57" w:type="dxa"/>
              <w:left w:w="57" w:type="dxa"/>
              <w:bottom w:w="57" w:type="dxa"/>
              <w:right w:w="57" w:type="dxa"/>
            </w:tcMar>
          </w:tcPr>
          <w:p>
            <w:r>
              <w:rPr>
                <w:rFonts w:ascii="Arial" w:hAnsi="Arial" w:cs="Arial"/>
                <w:color w:val="000000"/>
                <w:sz w:val="20"/>
              </w:rPr>
              <w:t>Framing mematuhi rule of thirds atau gaya visual pengarah</w:t>
            </w:r>
          </w:p>
        </w:tc>
      </w:tr>
      <w:tr>
        <w:trPr>
          <w:cantSplit w:val="true"/>
        </w:trPr>
        <w:tc>
          <w:tcPr>
            <w:tcW w:type="dxa" w:w="4656"/>
            <w:tcMar>
              <w:top w:w="57" w:type="dxa"/>
              <w:left w:w="57" w:type="dxa"/>
              <w:bottom w:w="57" w:type="dxa"/>
              <w:right w:w="57" w:type="dxa"/>
            </w:tcMar>
          </w:tcPr>
          <w:p>
            <w:r>
              <w:rPr>
                <w:rFonts w:ascii="Arial" w:hAnsi="Arial" w:cs="Arial"/>
                <w:color w:val="000000"/>
                <w:sz w:val="20"/>
              </w:rPr>
              <w:t>Prestasi (performance)</w:t>
            </w:r>
          </w:p>
        </w:tc>
        <w:tc>
          <w:tcPr>
            <w:tcW w:type="dxa" w:w="4656"/>
            <w:tcMar>
              <w:top w:w="57" w:type="dxa"/>
              <w:left w:w="57" w:type="dxa"/>
              <w:bottom w:w="57" w:type="dxa"/>
              <w:right w:w="57" w:type="dxa"/>
            </w:tcMar>
          </w:tcPr>
          <w:p>
            <w:r>
              <w:rPr>
                <w:rFonts w:ascii="Arial" w:hAnsi="Arial" w:cs="Arial"/>
                <w:color w:val="000000"/>
                <w:sz w:val="20"/>
              </w:rPr>
              <w:t>Lakonan/penyampaian meyakinkan, tiada kesilapan dialog ketara</w:t>
            </w:r>
          </w:p>
        </w:tc>
      </w:tr>
      <w:tr>
        <w:trPr>
          <w:cantSplit w:val="true"/>
        </w:trPr>
        <w:tc>
          <w:tcPr>
            <w:tcW w:type="dxa" w:w="4656"/>
            <w:tcMar>
              <w:top w:w="57" w:type="dxa"/>
              <w:left w:w="57" w:type="dxa"/>
              <w:bottom w:w="57" w:type="dxa"/>
              <w:right w:w="57" w:type="dxa"/>
            </w:tcMar>
          </w:tcPr>
          <w:p>
            <w:r>
              <w:rPr>
                <w:rFonts w:ascii="Arial" w:hAnsi="Arial" w:cs="Arial"/>
                <w:color w:val="000000"/>
                <w:sz w:val="20"/>
              </w:rPr>
              <w:t>Kestabilan kamera</w:t>
            </w:r>
          </w:p>
        </w:tc>
        <w:tc>
          <w:tcPr>
            <w:tcW w:type="dxa" w:w="4656"/>
            <w:tcMar>
              <w:top w:w="57" w:type="dxa"/>
              <w:left w:w="57" w:type="dxa"/>
              <w:bottom w:w="57" w:type="dxa"/>
              <w:right w:w="57" w:type="dxa"/>
            </w:tcMar>
          </w:tcPr>
          <w:p>
            <w:r>
              <w:rPr>
                <w:rFonts w:ascii="Arial" w:hAnsi="Arial" w:cs="Arial"/>
                <w:color w:val="000000"/>
                <w:sz w:val="20"/>
              </w:rPr>
              <w:t>Tiada goncangan tidak diingini (kecuali handheld disengajakan)</w:t>
            </w:r>
          </w:p>
        </w:tc>
      </w:tr>
      <w:tr>
        <w:trPr>
          <w:cantSplit w:val="true"/>
        </w:trPr>
        <w:tc>
          <w:tcPr>
            <w:tcW w:type="dxa" w:w="4656"/>
            <w:tcMar>
              <w:top w:w="57" w:type="dxa"/>
              <w:left w:w="57" w:type="dxa"/>
              <w:bottom w:w="57" w:type="dxa"/>
              <w:right w:w="57" w:type="dxa"/>
            </w:tcMar>
          </w:tcPr>
          <w:p>
            <w:r>
              <w:rPr>
                <w:rFonts w:ascii="Arial" w:hAnsi="Arial" w:cs="Arial"/>
                <w:color w:val="000000"/>
                <w:sz w:val="20"/>
              </w:rPr>
              <w:t>Audio sync</w:t>
            </w:r>
          </w:p>
        </w:tc>
        <w:tc>
          <w:tcPr>
            <w:tcW w:type="dxa" w:w="4656"/>
            <w:tcMar>
              <w:top w:w="57" w:type="dxa"/>
              <w:left w:w="57" w:type="dxa"/>
              <w:bottom w:w="57" w:type="dxa"/>
              <w:right w:w="57" w:type="dxa"/>
            </w:tcMar>
          </w:tcPr>
          <w:p>
            <w:r>
              <w:rPr>
                <w:rFonts w:ascii="Arial" w:hAnsi="Arial" w:cs="Arial"/>
                <w:color w:val="000000"/>
                <w:sz w:val="20"/>
              </w:rPr>
              <w:t>Bunyi selari dengan pergerakan mulut/aksi</w:t>
            </w:r>
          </w:p>
        </w:tc>
      </w:tr>
    </w:tbl>
    <w:p>
      <w:pPr>
        <w:spacing w:before="120" w:after="120" w:line="276" w:lineRule="auto"/>
        <w:jc w:val="left"/>
      </w:pPr>
      <w:r>
        <w:rPr>
          <w:rFonts w:ascii="Arial" w:hAnsi="Arial" w:cs="Arial"/>
          <w:b/>
          <w:color w:val="000000"/>
          <w:sz w:val="22"/>
        </w:rPr>
        <w:t>2. Pengendalian Shot "No Good (NG)"</w:t>
      </w:r>
    </w:p>
    <w:p>
      <w:pPr>
        <w:spacing w:line="276" w:lineRule="auto" w:after="120"/>
        <w:jc w:val="left"/>
      </w:pPr>
      <w:r>
        <w:rPr>
          <w:rFonts w:ascii="Arial" w:hAnsi="Arial" w:cs="Arial"/>
          <w:color w:val="000000"/>
          <w:sz w:val="22"/>
        </w:rPr>
        <w:t>Shot yang gagal memenuhi mana-mana kriteria di atas biasanya ditanda sebagai "No Good (NG)" dan diasingkan daripada bin utama, tetapi tidak dipadam sepenuhnya kerana ia mungkin diperlukan sebagai rujukan atau B-roll sekunder.</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Enam kriteria — fokus, pendedahan, komposisi, prestasi, kestabilan kamera, dan audio sync — menjadi asas penilaian good shot; shot yang gagal ditanda NG dan diasingkan, bukan dipadam.</w:t>
      </w:r>
    </w:p>
    <w:p>
      <w:pPr>
        <w:spacing w:before="120" w:after="120" w:line="276" w:lineRule="auto"/>
        <w:jc w:val="left"/>
      </w:pPr>
      <w:r>
        <w:rPr>
          <w:rFonts w:ascii="Arial" w:hAnsi="Arial" w:cs="Arial"/>
          <w:b/>
          <w:color w:val="000000"/>
          <w:sz w:val="24"/>
        </w:rPr>
        <w:t>Bab 4: Footages Material — Tape dan Tapeless</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Mengenal pasti dua kategori format footage material.</w:t>
      </w:r>
    </w:p>
    <w:p>
      <w:pPr>
        <w:pStyle w:val="ListParagraph"/>
        <w:spacing w:line="276" w:lineRule="auto" w:after="40"/>
        <w:ind w:left="357" w:hanging="357"/>
        <w:jc w:val="left"/>
      </w:pPr>
      <w:r>
        <w:rPr>
          <w:rFonts w:ascii="Arial" w:hAnsi="Arial" w:cs="Arial"/>
          <w:color w:val="000000"/>
          <w:sz w:val="22"/>
        </w:rPr>
        <w:t>• Membezakan kaedah ingest bagi format tape dan tapeless.</w:t>
      </w:r>
    </w:p>
    <w:p>
      <w:pPr>
        <w:pStyle w:val="ListParagraph"/>
        <w:spacing w:line="276" w:lineRule="auto" w:after="40"/>
        <w:ind w:left="357" w:hanging="357"/>
        <w:jc w:val="left"/>
      </w:pPr>
      <w:r>
        <w:rPr>
          <w:rFonts w:ascii="Arial" w:hAnsi="Arial" w:cs="Arial"/>
          <w:color w:val="000000"/>
          <w:sz w:val="22"/>
        </w:rPr>
        <w:t>• Menghubungkan pemilihan format dengan kelajuan dan kualiti kerja editing.</w:t>
      </w:r>
    </w:p>
    <w:p>
      <w:pPr>
        <w:spacing w:before="120" w:after="120" w:line="276" w:lineRule="auto"/>
        <w:jc w:val="left"/>
      </w:pPr>
      <w:r>
        <w:rPr>
          <w:rFonts w:ascii="Arial" w:hAnsi="Arial" w:cs="Arial"/>
          <w:b/>
          <w:color w:val="000000"/>
          <w:sz w:val="22"/>
        </w:rPr>
        <w:t>1. Format Tape (Berasaskan Pita)</w:t>
      </w:r>
    </w:p>
    <w:p>
      <w:pPr>
        <w:spacing w:line="276" w:lineRule="auto" w:after="120"/>
        <w:jc w:val="left"/>
      </w:pPr>
      <w:r>
        <w:rPr>
          <w:rFonts w:ascii="Arial" w:hAnsi="Arial" w:cs="Arial"/>
          <w:color w:val="000000"/>
          <w:sz w:val="22"/>
        </w:rPr>
        <w:t>HD CAM ialah format tape profesional beresolusi tinggi, biasa digunakan siaran TV; Betacam ialah format tape analog/digital legasi yang masih dijumpai dalam arkib; DV CAM ialah format tape digital standard untuk ENG (Electronic News Gathering).</w:t>
      </w:r>
    </w:p>
    <w:p>
      <w:pPr>
        <w:spacing w:before="120" w:after="120" w:line="276" w:lineRule="auto"/>
        <w:jc w:val="left"/>
      </w:pPr>
      <w:r>
        <w:rPr>
          <w:rFonts w:ascii="Arial" w:hAnsi="Arial" w:cs="Arial"/>
          <w:b/>
          <w:color w:val="000000"/>
          <w:sz w:val="22"/>
        </w:rPr>
        <w:t>2. Format Tapeless (Berasaskan Kad Memori)</w:t>
      </w:r>
    </w:p>
    <w:p>
      <w:pPr>
        <w:spacing w:line="276" w:lineRule="auto" w:after="120"/>
        <w:jc w:val="left"/>
      </w:pPr>
      <w:r>
        <w:rPr>
          <w:rFonts w:ascii="Arial" w:hAnsi="Arial" w:cs="Arial"/>
          <w:color w:val="000000"/>
          <w:sz w:val="22"/>
        </w:rPr>
        <w:t>SDHC Card ialah kad memori standard untuk kamera pengguna dan prosumer; P2 Card ialah kad memori profesional Panasonic yang laju dan tahan lasak; SxS Card ialah kad memori Sony untuk kamera broadcast dan sinematografi digital.</w:t>
      </w:r>
    </w:p>
    <w:p>
      <w:pPr>
        <w:spacing w:before="120" w:after="120" w:line="276" w:lineRule="auto"/>
        <w:jc w:val="left"/>
      </w:pPr>
      <w:r>
        <w:rPr>
          <w:rFonts w:ascii="Arial" w:hAnsi="Arial" w:cs="Arial"/>
          <w:b/>
          <w:color w:val="000000"/>
          <w:sz w:val="22"/>
        </w:rPr>
        <w:t>3. Perbezaan Kaedah Ingest</w:t>
      </w:r>
    </w:p>
    <w:p>
      <w:pPr>
        <w:spacing w:line="276" w:lineRule="auto" w:after="120"/>
        <w:jc w:val="left"/>
      </w:pPr>
      <w:r>
        <w:rPr>
          <w:rFonts w:ascii="Arial" w:hAnsi="Arial" w:cs="Arial"/>
          <w:color w:val="000000"/>
          <w:sz w:val="22"/>
        </w:rPr>
        <w:t>Setiap format mempunyai kaedah ingest yang berbeza (rujuk P04 dalam 01-proses-kerja.md): footage tape memerlukan proses "capture" secara masa nyata melalui deck pemain, manakala footage tapeless boleh disalin terus (file copy) daripada kad ke storan projek — lebih pantas dan tidak hilang kualiti generasi.</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Format tape memerlukan capture masa nyata manakala format tapeless membenarkan file copy terus; pemilihan kaedah ingest yang betul mempercepatkan proses persediaan sebelum pemilihan shot bermula.</w:t>
      </w:r>
    </w:p>
    <w:p>
      <w:pPr>
        <w:spacing w:before="120" w:after="120" w:line="276" w:lineRule="auto"/>
        <w:jc w:val="left"/>
      </w:pPr>
      <w:r>
        <w:rPr>
          <w:rFonts w:ascii="Arial" w:hAnsi="Arial" w:cs="Arial"/>
          <w:b/>
          <w:color w:val="000000"/>
          <w:sz w:val="24"/>
        </w:rPr>
        <w:t>Bab 5: Script</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Menjelaskan fungsi skrip sebagai rujukan utama semasa pemilihan shot.</w:t>
      </w:r>
    </w:p>
    <w:p>
      <w:pPr>
        <w:pStyle w:val="ListParagraph"/>
        <w:spacing w:line="276" w:lineRule="auto" w:after="40"/>
        <w:ind w:left="357" w:hanging="357"/>
        <w:jc w:val="left"/>
      </w:pPr>
      <w:r>
        <w:rPr>
          <w:rFonts w:ascii="Arial" w:hAnsi="Arial" w:cs="Arial"/>
          <w:color w:val="000000"/>
          <w:sz w:val="22"/>
        </w:rPr>
        <w:t>• Mengaitkan shot yang dipilih dengan baris dialog/arahan visual skrip.</w:t>
      </w:r>
    </w:p>
    <w:p>
      <w:pPr>
        <w:pStyle w:val="ListParagraph"/>
        <w:spacing w:line="276" w:lineRule="auto" w:after="40"/>
        <w:ind w:left="357" w:hanging="357"/>
        <w:jc w:val="left"/>
      </w:pPr>
      <w:r>
        <w:rPr>
          <w:rFonts w:ascii="Arial" w:hAnsi="Arial" w:cs="Arial"/>
          <w:color w:val="000000"/>
          <w:sz w:val="22"/>
        </w:rPr>
        <w:t>• Mengenal pasti risiko jika pemilihan shot tidak merujuk skrip.</w:t>
      </w:r>
    </w:p>
    <w:p>
      <w:pPr>
        <w:spacing w:before="120" w:after="120" w:line="276" w:lineRule="auto"/>
        <w:jc w:val="left"/>
      </w:pPr>
      <w:r>
        <w:rPr>
          <w:rFonts w:ascii="Arial" w:hAnsi="Arial" w:cs="Arial"/>
          <w:b/>
          <w:color w:val="000000"/>
          <w:sz w:val="22"/>
        </w:rPr>
        <w:t>1. Fungsi Skrip dalam Pemilihan Shot</w:t>
      </w:r>
    </w:p>
    <w:p>
      <w:pPr>
        <w:spacing w:line="276" w:lineRule="auto" w:after="120"/>
        <w:jc w:val="left"/>
      </w:pPr>
      <w:r>
        <w:rPr>
          <w:rFonts w:ascii="Arial" w:hAnsi="Arial" w:cs="Arial"/>
          <w:color w:val="000000"/>
          <w:sz w:val="22"/>
        </w:rPr>
        <w:t>Skrip projek (dialog, arahan visual, penerangan scene) adalah rujukan utama semasa pemilihan shot. Editor perlu memastikan setiap shot yang dipilih benar-benar mewakili baris dialog atau arahan visual yang dikehendaki skrip pada scene berkenaan.</w:t>
      </w:r>
    </w:p>
    <w:p>
      <w:pPr>
        <w:spacing w:before="120" w:after="120" w:line="276" w:lineRule="auto"/>
        <w:jc w:val="left"/>
      </w:pPr>
      <w:r>
        <w:rPr>
          <w:rFonts w:ascii="Arial" w:hAnsi="Arial" w:cs="Arial"/>
          <w:b/>
          <w:color w:val="000000"/>
          <w:sz w:val="22"/>
        </w:rPr>
        <w:t>2. Contoh Studio: Kesan Pemilihan Tanpa Skrip</w:t>
      </w:r>
    </w:p>
    <w:p>
      <w:pPr>
        <w:spacing w:line="276" w:lineRule="auto" w:after="120"/>
        <w:jc w:val="left"/>
      </w:pPr>
      <w:r>
        <w:rPr>
          <w:rFonts w:ascii="Arial" w:hAnsi="Arial" w:cs="Arial"/>
          <w:color w:val="000000"/>
          <w:sz w:val="22"/>
        </w:rPr>
        <w:t>Tanpa rujukan skrip, editor berisiko memilih shot yang secara teknikal baik tetapi tidak relevan dengan naratif — ini boleh menyebabkan pembaziran masa semasa peringkat sequence timeline editing (WA2) apabila shot yang salah perlu diganti.</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Skrip mesti dirujuk sepanjang pemilihan shot untuk memastikan setiap shot relevan dengan naratif; kegagalan berbuat demikian menyebabkan kerja berulang pada WA2.</w:t>
      </w:r>
    </w:p>
    <w:p>
      <w:pPr>
        <w:spacing w:before="120" w:after="120" w:line="276" w:lineRule="auto"/>
        <w:jc w:val="left"/>
      </w:pPr>
      <w:r>
        <w:rPr>
          <w:rFonts w:ascii="Arial" w:hAnsi="Arial" w:cs="Arial"/>
          <w:b/>
          <w:color w:val="000000"/>
          <w:sz w:val="24"/>
        </w:rPr>
        <w:t>Bab 6: Continuity Sheet</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Mentakrifkan kandungan continuity sheet.</w:t>
      </w:r>
    </w:p>
    <w:p>
      <w:pPr>
        <w:pStyle w:val="ListParagraph"/>
        <w:spacing w:line="276" w:lineRule="auto" w:after="40"/>
        <w:ind w:left="357" w:hanging="357"/>
        <w:jc w:val="left"/>
      </w:pPr>
      <w:r>
        <w:rPr>
          <w:rFonts w:ascii="Arial" w:hAnsi="Arial" w:cs="Arial"/>
          <w:color w:val="000000"/>
          <w:sz w:val="22"/>
        </w:rPr>
        <w:t>• Menjelaskan cara continuity sheet mempercepatkan pemilihan shot.</w:t>
      </w:r>
    </w:p>
    <w:p>
      <w:pPr>
        <w:pStyle w:val="ListParagraph"/>
        <w:spacing w:line="276" w:lineRule="auto" w:after="40"/>
        <w:ind w:left="357" w:hanging="357"/>
        <w:jc w:val="left"/>
      </w:pPr>
      <w:r>
        <w:rPr>
          <w:rFonts w:ascii="Arial" w:hAnsi="Arial" w:cs="Arial"/>
          <w:color w:val="000000"/>
          <w:sz w:val="22"/>
        </w:rPr>
        <w:t>• Mengaitkan catatan pengarah dengan keputusan pemilihan good/NG shot.</w:t>
      </w:r>
    </w:p>
    <w:p>
      <w:pPr>
        <w:spacing w:before="120" w:after="120" w:line="276" w:lineRule="auto"/>
        <w:jc w:val="left"/>
      </w:pPr>
      <w:r>
        <w:rPr>
          <w:rFonts w:ascii="Arial" w:hAnsi="Arial" w:cs="Arial"/>
          <w:b/>
          <w:color w:val="000000"/>
          <w:sz w:val="22"/>
        </w:rPr>
        <w:t>1. Kandungan Continuity Sheet</w:t>
      </w:r>
    </w:p>
    <w:p>
      <w:pPr>
        <w:spacing w:line="276" w:lineRule="auto" w:after="120"/>
        <w:jc w:val="left"/>
      </w:pPr>
      <w:r>
        <w:rPr>
          <w:rFonts w:ascii="Arial" w:hAnsi="Arial" w:cs="Arial"/>
          <w:color w:val="000000"/>
          <w:sz w:val="22"/>
        </w:rPr>
        <w:t>Continuity sheet ialah dokumen yang direkod semasa penggambaran, mengandungi maklumat seperti nombor take, masa (timecode), dan catatan pengarah tentang setiap take.</w:t>
      </w:r>
    </w:p>
    <w:p>
      <w:pPr>
        <w:spacing w:before="120" w:after="120" w:line="276" w:lineRule="auto"/>
        <w:jc w:val="left"/>
      </w:pPr>
      <w:r>
        <w:rPr>
          <w:rFonts w:ascii="Arial" w:hAnsi="Arial" w:cs="Arial"/>
          <w:b/>
          <w:color w:val="000000"/>
          <w:sz w:val="22"/>
        </w:rPr>
        <w:t>2. Contoh Studio: Catatan Pengarah</w:t>
      </w:r>
    </w:p>
    <w:tbl>
      <w:tblPr>
        <w:tblStyle w:val="TableGrid"/>
        <w:tblW w:type="auto" w:w="0"/>
        <w:tblLayout w:type="autofit"/>
        <w:tblLook w:firstColumn="1" w:firstRow="1" w:lastColumn="0" w:lastRow="0" w:noHBand="0" w:noVBand="1" w:val="04A0"/>
      </w:tblPr>
      <w:tblGrid>
        <w:gridCol w:w="3104"/>
        <w:gridCol w:w="3104"/>
        <w:gridCol w:w="3104"/>
      </w:tblGrid>
      <w:tr>
        <w:trPr>
          <w:tblHeader w:val="true"/>
          <w:cantSplit w:val="true"/>
        </w:trPr>
        <w:tc>
          <w:tcPr>
            <w:tcW w:type="dxa" w:w="3104"/>
            <w:tcMar>
              <w:top w:w="57" w:type="dxa"/>
              <w:left w:w="57" w:type="dxa"/>
              <w:bottom w:w="57" w:type="dxa"/>
              <w:right w:w="57" w:type="dxa"/>
            </w:tcMar>
            <w:shd w:val="clear" w:color="auto" w:fill="D9D9D9"/>
          </w:tcPr>
          <w:p>
            <w:r>
              <w:rPr>
                <w:rFonts w:ascii="Arial" w:hAnsi="Arial" w:cs="Arial"/>
                <w:b/>
                <w:color w:val="000000"/>
                <w:sz w:val="20"/>
              </w:rPr>
              <w:t>Take</w:t>
            </w:r>
          </w:p>
        </w:tc>
        <w:tc>
          <w:tcPr>
            <w:tcW w:type="dxa" w:w="3104"/>
            <w:tcMar>
              <w:top w:w="57" w:type="dxa"/>
              <w:left w:w="57" w:type="dxa"/>
              <w:bottom w:w="57" w:type="dxa"/>
              <w:right w:w="57" w:type="dxa"/>
            </w:tcMar>
            <w:shd w:val="clear" w:color="auto" w:fill="D9D9D9"/>
          </w:tcPr>
          <w:p>
            <w:r>
              <w:rPr>
                <w:rFonts w:ascii="Arial" w:hAnsi="Arial" w:cs="Arial"/>
                <w:b/>
                <w:color w:val="000000"/>
                <w:sz w:val="20"/>
              </w:rPr>
              <w:t>Timecode</w:t>
            </w:r>
          </w:p>
        </w:tc>
        <w:tc>
          <w:tcPr>
            <w:tcW w:type="dxa" w:w="3104"/>
            <w:tcMar>
              <w:top w:w="57" w:type="dxa"/>
              <w:left w:w="57" w:type="dxa"/>
              <w:bottom w:w="57" w:type="dxa"/>
              <w:right w:w="57" w:type="dxa"/>
            </w:tcMar>
            <w:shd w:val="clear" w:color="auto" w:fill="D9D9D9"/>
          </w:tcPr>
          <w:p>
            <w:r>
              <w:rPr>
                <w:rFonts w:ascii="Arial" w:hAnsi="Arial" w:cs="Arial"/>
                <w:b/>
                <w:color w:val="000000"/>
                <w:sz w:val="20"/>
              </w:rPr>
              <w:t>Catatan Pengarah</w:t>
            </w:r>
          </w:p>
        </w:tc>
      </w:tr>
      <w:tr>
        <w:trPr>
          <w:cantSplit w:val="true"/>
        </w:trPr>
        <w:tc>
          <w:tcPr>
            <w:tcW w:type="dxa" w:w="3104"/>
            <w:tcMar>
              <w:top w:w="57" w:type="dxa"/>
              <w:left w:w="57" w:type="dxa"/>
              <w:bottom w:w="57" w:type="dxa"/>
              <w:right w:w="57" w:type="dxa"/>
            </w:tcMar>
          </w:tcPr>
          <w:p>
            <w:r>
              <w:rPr>
                <w:rFonts w:ascii="Arial" w:hAnsi="Arial" w:cs="Arial"/>
                <w:color w:val="000000"/>
                <w:sz w:val="20"/>
              </w:rPr>
              <w:t>Take 3</w:t>
            </w:r>
          </w:p>
        </w:tc>
        <w:tc>
          <w:tcPr>
            <w:tcW w:type="dxa" w:w="3104"/>
            <w:tcMar>
              <w:top w:w="57" w:type="dxa"/>
              <w:left w:w="57" w:type="dxa"/>
              <w:bottom w:w="57" w:type="dxa"/>
              <w:right w:w="57" w:type="dxa"/>
            </w:tcMar>
          </w:tcPr>
          <w:p>
            <w:r>
              <w:rPr>
                <w:rFonts w:ascii="Arial" w:hAnsi="Arial" w:cs="Arial"/>
                <w:color w:val="000000"/>
                <w:sz w:val="20"/>
              </w:rPr>
              <w:t>00:04:12</w:t>
            </w:r>
          </w:p>
        </w:tc>
        <w:tc>
          <w:tcPr>
            <w:tcW w:type="dxa" w:w="3104"/>
            <w:tcMar>
              <w:top w:w="57" w:type="dxa"/>
              <w:left w:w="57" w:type="dxa"/>
              <w:bottom w:w="57" w:type="dxa"/>
              <w:right w:w="57" w:type="dxa"/>
            </w:tcMar>
          </w:tcPr>
          <w:p>
            <w:r>
              <w:rPr>
                <w:rFonts w:ascii="Arial" w:hAnsi="Arial" w:cs="Arial"/>
                <w:color w:val="000000"/>
                <w:sz w:val="20"/>
              </w:rPr>
              <w:t>"The best"</w:t>
            </w:r>
          </w:p>
        </w:tc>
      </w:tr>
      <w:tr>
        <w:trPr>
          <w:cantSplit w:val="true"/>
        </w:trPr>
        <w:tc>
          <w:tcPr>
            <w:tcW w:type="dxa" w:w="3104"/>
            <w:tcMar>
              <w:top w:w="57" w:type="dxa"/>
              <w:left w:w="57" w:type="dxa"/>
              <w:bottom w:w="57" w:type="dxa"/>
              <w:right w:w="57" w:type="dxa"/>
            </w:tcMar>
          </w:tcPr>
          <w:p>
            <w:r>
              <w:rPr>
                <w:rFonts w:ascii="Arial" w:hAnsi="Arial" w:cs="Arial"/>
                <w:color w:val="000000"/>
                <w:sz w:val="20"/>
              </w:rPr>
              <w:t>Take 5</w:t>
            </w:r>
          </w:p>
        </w:tc>
        <w:tc>
          <w:tcPr>
            <w:tcW w:type="dxa" w:w="3104"/>
            <w:tcMar>
              <w:top w:w="57" w:type="dxa"/>
              <w:left w:w="57" w:type="dxa"/>
              <w:bottom w:w="57" w:type="dxa"/>
              <w:right w:w="57" w:type="dxa"/>
            </w:tcMar>
          </w:tcPr>
          <w:p>
            <w:r>
              <w:rPr>
                <w:rFonts w:ascii="Arial" w:hAnsi="Arial" w:cs="Arial"/>
                <w:color w:val="000000"/>
                <w:sz w:val="20"/>
              </w:rPr>
              <w:t>00:07:48</w:t>
            </w:r>
          </w:p>
        </w:tc>
        <w:tc>
          <w:tcPr>
            <w:tcW w:type="dxa" w:w="3104"/>
            <w:tcMar>
              <w:top w:w="57" w:type="dxa"/>
              <w:left w:w="57" w:type="dxa"/>
              <w:bottom w:w="57" w:type="dxa"/>
              <w:right w:w="57" w:type="dxa"/>
            </w:tcMar>
          </w:tcPr>
          <w:p>
            <w:r>
              <w:rPr>
                <w:rFonts w:ascii="Arial" w:hAnsi="Arial" w:cs="Arial"/>
                <w:color w:val="000000"/>
                <w:sz w:val="20"/>
              </w:rPr>
              <w:t>"NG, boom shadow"</w:t>
            </w:r>
          </w:p>
        </w:tc>
      </w:tr>
    </w:tbl>
    <w:p>
      <w:pPr>
        <w:spacing w:before="120" w:after="120" w:line="276" w:lineRule="auto"/>
        <w:jc w:val="left"/>
      </w:pPr>
      <w:r>
        <w:rPr>
          <w:rFonts w:ascii="Arial" w:hAnsi="Arial" w:cs="Arial"/>
          <w:b/>
          <w:color w:val="000000"/>
          <w:sz w:val="22"/>
        </w:rPr>
        <w:t>3. Kegunaan Semasa Pemilihan Shot</w:t>
      </w:r>
    </w:p>
    <w:p>
      <w:pPr>
        <w:spacing w:line="276" w:lineRule="auto" w:after="120"/>
        <w:jc w:val="left"/>
      </w:pPr>
      <w:r>
        <w:rPr>
          <w:rFonts w:ascii="Arial" w:hAnsi="Arial" w:cs="Arial"/>
          <w:color w:val="000000"/>
          <w:sz w:val="22"/>
        </w:rPr>
        <w:t>Editor menggunakan continuity sheet sebagai panduan pantas untuk mengenal pasti take yang telah disahkan baik oleh pengarah semasa di lokasi, mengurangkan masa pratonton semula setiap take dari awal.</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Continuity sheet membekalkan catatan pengarah di lokasi (take terbaik/NG) yang mempercepatkan keputusan pemilihan shot tanpa perlu pratonton semula dari kosong.</w:t>
      </w:r>
    </w:p>
    <w:p>
      <w:pPr>
        <w:spacing w:before="120" w:after="120" w:line="276" w:lineRule="auto"/>
        <w:jc w:val="left"/>
      </w:pPr>
      <w:r>
        <w:rPr>
          <w:rFonts w:ascii="Arial" w:hAnsi="Arial" w:cs="Arial"/>
          <w:b/>
          <w:color w:val="000000"/>
          <w:sz w:val="24"/>
        </w:rPr>
        <w:t>Bab 7: Shooting Board</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Mentakrifkan fungsi shooting board sebagai rancangan visual pra-produksi.</w:t>
      </w:r>
    </w:p>
    <w:p>
      <w:pPr>
        <w:pStyle w:val="ListParagraph"/>
        <w:spacing w:line="276" w:lineRule="auto" w:after="40"/>
        <w:ind w:left="357" w:hanging="357"/>
        <w:jc w:val="left"/>
      </w:pPr>
      <w:r>
        <w:rPr>
          <w:rFonts w:ascii="Arial" w:hAnsi="Arial" w:cs="Arial"/>
          <w:color w:val="000000"/>
          <w:sz w:val="22"/>
        </w:rPr>
        <w:t>• Mengesahkan sudut kamera dan komposisi shot berbanding rancangan asal.</w:t>
      </w:r>
    </w:p>
    <w:p>
      <w:pPr>
        <w:pStyle w:val="ListParagraph"/>
        <w:spacing w:line="276" w:lineRule="auto" w:after="40"/>
        <w:ind w:left="357" w:hanging="357"/>
        <w:jc w:val="left"/>
      </w:pPr>
      <w:r>
        <w:rPr>
          <w:rFonts w:ascii="Arial" w:hAnsi="Arial" w:cs="Arial"/>
          <w:color w:val="000000"/>
          <w:sz w:val="22"/>
        </w:rPr>
        <w:t>• Mengaitkan shooting board dengan niat visual produksi.</w:t>
      </w:r>
    </w:p>
    <w:p>
      <w:pPr>
        <w:spacing w:before="120" w:after="120" w:line="276" w:lineRule="auto"/>
        <w:jc w:val="left"/>
      </w:pPr>
      <w:r>
        <w:rPr>
          <w:rFonts w:ascii="Arial" w:hAnsi="Arial" w:cs="Arial"/>
          <w:b/>
          <w:color w:val="000000"/>
          <w:sz w:val="22"/>
        </w:rPr>
        <w:t>1. Definisi dan Fungsi</w:t>
      </w:r>
    </w:p>
    <w:p>
      <w:pPr>
        <w:spacing w:line="276" w:lineRule="auto" w:after="120"/>
        <w:jc w:val="left"/>
      </w:pPr>
      <w:r>
        <w:rPr>
          <w:rFonts w:ascii="Arial" w:hAnsi="Arial" w:cs="Arial"/>
          <w:color w:val="000000"/>
          <w:sz w:val="22"/>
        </w:rPr>
        <w:t>Shooting board (storyboard produksi) memaparkan susunan visual scene demi scene yang telah dirancang sebelum penggambaran.</w:t>
      </w:r>
    </w:p>
    <w:p>
      <w:pPr>
        <w:spacing w:before="120" w:after="120" w:line="276" w:lineRule="auto"/>
        <w:jc w:val="left"/>
      </w:pPr>
      <w:r>
        <w:rPr>
          <w:rFonts w:ascii="Arial" w:hAnsi="Arial" w:cs="Arial"/>
          <w:b/>
          <w:color w:val="000000"/>
          <w:sz w:val="22"/>
        </w:rPr>
        <w:t>2. Kegunaan Semasa Pemilihan Shot</w:t>
      </w:r>
    </w:p>
    <w:p>
      <w:pPr>
        <w:spacing w:line="276" w:lineRule="auto" w:after="120"/>
        <w:jc w:val="left"/>
      </w:pPr>
      <w:r>
        <w:rPr>
          <w:rFonts w:ascii="Arial" w:hAnsi="Arial" w:cs="Arial"/>
          <w:color w:val="000000"/>
          <w:sz w:val="22"/>
        </w:rPr>
        <w:t>Editor merujuk shooting board untuk mengesahkan sudut kamera dan komposisi shot yang sepatutnya wujud bagi setiap scene, membantu proses pemadanan shot yang dipilih dengan niat visual asal produksi.</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Shooting board menjadi rujukan visual untuk mengesahkan bahawa shot yang dipilih sepadan dengan sudut kamera dan komposisi yang dirancang sebelum penggambaran.</w:t>
      </w:r>
    </w:p>
    <w:p>
      <w:pPr>
        <w:spacing w:before="120" w:after="120" w:line="276" w:lineRule="auto"/>
        <w:jc w:val="left"/>
      </w:pPr>
      <w:r>
        <w:rPr>
          <w:rFonts w:ascii="Arial" w:hAnsi="Arial" w:cs="Arial"/>
          <w:b/>
          <w:color w:val="000000"/>
          <w:sz w:val="24"/>
        </w:rPr>
        <w:t>Bab 8: DIT (Digital Imaging Technician) Sheet</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Mentakrifkan kandungan DIT sheet.</w:t>
      </w:r>
    </w:p>
    <w:p>
      <w:pPr>
        <w:pStyle w:val="ListParagraph"/>
        <w:spacing w:line="276" w:lineRule="auto" w:after="40"/>
        <w:ind w:left="357" w:hanging="357"/>
        <w:jc w:val="left"/>
      </w:pPr>
      <w:r>
        <w:rPr>
          <w:rFonts w:ascii="Arial" w:hAnsi="Arial" w:cs="Arial"/>
          <w:color w:val="000000"/>
          <w:sz w:val="22"/>
        </w:rPr>
        <w:t>• Menjelaskan kepentingan metadata warna dan status backup sebelum pemilihan shot.</w:t>
      </w:r>
    </w:p>
    <w:p>
      <w:pPr>
        <w:pStyle w:val="ListParagraph"/>
        <w:spacing w:line="276" w:lineRule="auto" w:after="40"/>
        <w:ind w:left="357" w:hanging="357"/>
        <w:jc w:val="left"/>
      </w:pPr>
      <w:r>
        <w:rPr>
          <w:rFonts w:ascii="Arial" w:hAnsi="Arial" w:cs="Arial"/>
          <w:color w:val="000000"/>
          <w:sz w:val="22"/>
        </w:rPr>
        <w:t>• Mengaitkan DIT sheet dengan kerja online colour correction kelak.</w:t>
      </w:r>
    </w:p>
    <w:p>
      <w:pPr>
        <w:spacing w:before="120" w:after="120" w:line="276" w:lineRule="auto"/>
        <w:jc w:val="left"/>
      </w:pPr>
      <w:r>
        <w:rPr>
          <w:rFonts w:ascii="Arial" w:hAnsi="Arial" w:cs="Arial"/>
          <w:b/>
          <w:color w:val="000000"/>
          <w:sz w:val="22"/>
        </w:rPr>
        <w:t>1. Kandungan DIT Sheet</w:t>
      </w:r>
    </w:p>
    <w:p>
      <w:pPr>
        <w:spacing w:line="276" w:lineRule="auto" w:after="120"/>
        <w:jc w:val="left"/>
      </w:pPr>
      <w:r>
        <w:rPr>
          <w:rFonts w:ascii="Arial" w:hAnsi="Arial" w:cs="Arial"/>
          <w:color w:val="000000"/>
          <w:sz w:val="22"/>
        </w:rPr>
        <w:t>DIT sheet ialah log teknikal yang disediakan oleh Digital Imaging Technician di lokasi, merekodkan metadata kamera seperti setting warna (white balance, LUT yang digunakan), format rakaman, dan status backup kad memori.</w:t>
      </w:r>
    </w:p>
    <w:p>
      <w:pPr>
        <w:spacing w:before="120" w:after="120" w:line="276" w:lineRule="auto"/>
        <w:jc w:val="left"/>
      </w:pPr>
      <w:r>
        <w:rPr>
          <w:rFonts w:ascii="Arial" w:hAnsi="Arial" w:cs="Arial"/>
          <w:b/>
          <w:color w:val="000000"/>
          <w:sz w:val="22"/>
        </w:rPr>
        <w:t>2. Kegunaan Semasa Pemilihan Shot</w:t>
      </w:r>
    </w:p>
    <w:p>
      <w:pPr>
        <w:spacing w:line="276" w:lineRule="auto" w:after="120"/>
        <w:jc w:val="left"/>
      </w:pPr>
      <w:r>
        <w:rPr>
          <w:rFonts w:ascii="Arial" w:hAnsi="Arial" w:cs="Arial"/>
          <w:color w:val="000000"/>
          <w:sz w:val="22"/>
        </w:rPr>
        <w:t>Editor merujuk DIT sheet untuk memastikan footage yang diterima adalah versi yang betul dan telah disahkan lengkap sebelum kerja pemilihan shot bermula, serta untuk memahami tetapan warna asal (bagi rujukan semasa online colour correction kelak).</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DIT sheet mengesahkan kesempurnaan dan integriti footage sebelum pemilihan shot bermula, serta menyimpan metadata warna yang bernilai untuk peringkat online kelak.</w:t>
      </w:r>
    </w:p>
    <w:p>
      <w:pPr>
        <w:spacing w:before="120" w:after="120" w:line="276" w:lineRule="auto"/>
        <w:jc w:val="left"/>
      </w:pPr>
      <w:r>
        <w:rPr>
          <w:rFonts w:ascii="Arial" w:hAnsi="Arial" w:cs="Arial"/>
          <w:b/>
          <w:color w:val="000000"/>
          <w:sz w:val="22"/>
        </w:rPr>
        <w:t>SOALAN:</w:t>
      </w:r>
    </w:p>
    <w:p>
      <w:pPr>
        <w:pStyle w:val="ListParagraph"/>
        <w:spacing w:line="276" w:lineRule="auto" w:after="40"/>
        <w:ind w:left="357" w:hanging="357"/>
        <w:jc w:val="left"/>
      </w:pPr>
      <w:r>
        <w:rPr>
          <w:rFonts w:ascii="Arial" w:hAnsi="Arial" w:cs="Arial"/>
          <w:color w:val="000000"/>
          <w:sz w:val="22"/>
        </w:rPr>
        <w:t>• Soalan: Apakah dua kategori utama format footage material dan berikan satu contoh bagi setiap kategori?</w:t>
      </w:r>
    </w:p>
    <w:p>
      <w:pPr>
        <w:spacing w:line="276" w:lineRule="auto" w:after="120"/>
        <w:jc w:val="left"/>
      </w:pPr>
      <w:r>
        <w:rPr>
          <w:rFonts w:ascii="Arial" w:hAnsi="Arial" w:cs="Arial"/>
          <w:color w:val="000000"/>
          <w:sz w:val="22"/>
        </w:rPr>
        <w:t>Jawapan model: Dua kategori utama ialah format Tape (contoh: HD CAM, Betacam, DV CAM) dan format Tapeless (contoh: SDHC Card, P2 Card, SxS Card).</w:t>
      </w:r>
    </w:p>
    <w:p>
      <w:pPr>
        <w:pStyle w:val="ListParagraph"/>
        <w:spacing w:line="276" w:lineRule="auto" w:after="40"/>
        <w:ind w:left="357" w:hanging="357"/>
        <w:jc w:val="left"/>
      </w:pPr>
      <w:r>
        <w:rPr>
          <w:rFonts w:ascii="Arial" w:hAnsi="Arial" w:cs="Arial"/>
          <w:color w:val="000000"/>
          <w:sz w:val="22"/>
        </w:rPr>
        <w:t>• Soalan: Namakan tiga kriteria yang digunakan untuk menentukan sesuatu shot sebagai "good shot".</w:t>
      </w:r>
    </w:p>
    <w:p>
      <w:pPr>
        <w:spacing w:line="276" w:lineRule="auto" w:after="120"/>
        <w:jc w:val="left"/>
      </w:pPr>
      <w:r>
        <w:rPr>
          <w:rFonts w:ascii="Arial" w:hAnsi="Arial" w:cs="Arial"/>
          <w:color w:val="000000"/>
          <w:sz w:val="22"/>
        </w:rPr>
        <w:t>Jawapan model: Mana-mana tiga daripada: fokus, pendedahan (exposure), komposisi, prestasi lakonan/penyampaian, kestabilan kamera, atau audio sync.</w:t>
      </w:r>
    </w:p>
    <w:p>
      <w:pPr>
        <w:pStyle w:val="ListParagraph"/>
        <w:spacing w:line="276" w:lineRule="auto" w:after="40"/>
        <w:ind w:left="357" w:hanging="357"/>
        <w:jc w:val="left"/>
      </w:pPr>
      <w:r>
        <w:rPr>
          <w:rFonts w:ascii="Arial" w:hAnsi="Arial" w:cs="Arial"/>
          <w:color w:val="000000"/>
          <w:sz w:val="22"/>
        </w:rPr>
        <w:t>• Soalan: Apakah perbezaan fungsi antara continuity sheet dan shooting board dalam proses pemilihan shot?</w:t>
      </w:r>
    </w:p>
    <w:p>
      <w:pPr>
        <w:spacing w:line="276" w:lineRule="auto" w:after="120"/>
        <w:jc w:val="left"/>
      </w:pPr>
      <w:r>
        <w:rPr>
          <w:rFonts w:ascii="Arial" w:hAnsi="Arial" w:cs="Arial"/>
          <w:color w:val="000000"/>
          <w:sz w:val="22"/>
        </w:rPr>
        <w:t>Jawapan model: Continuity sheet merekodkan status setiap take semasa penggambaran (contoh: take terbaik atau NG) untuk memandu pemilihan take yang telah disahkan pengarah, manakala shooting board memaparkan susunan visual scene yang dirancang sebelum penggambaran, digunakan untuk mengesahkan komposisi shot yang dipilih selari dengan niat visual asal.</w:t>
      </w:r>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Rujukan CoCU (rujukan rasmi bagi CU ini, sama seperti §6.1 dalam 00-noss-extract.md):</w:t>
      </w:r>
    </w:p>
    <w:p>
      <w:pPr>
        <w:pStyle w:val="ListParagraph"/>
        <w:spacing w:line="276" w:lineRule="auto" w:after="40"/>
        <w:ind w:left="357" w:hanging="357"/>
        <w:jc w:val="left"/>
      </w:pPr>
      <w:r>
        <w:rPr>
          <w:rFonts w:ascii="Arial" w:hAnsi="Arial" w:cs="Arial"/>
          <w:color w:val="000000"/>
          <w:sz w:val="22"/>
        </w:rPr>
        <w:t>• Wells, P. (2007). *Digital video editing: A user's guide* (1st ed.). Crowood Press. ISBN 978-1861269522</w:t>
      </w:r>
    </w:p>
    <w:p>
      <w:pPr>
        <w:pStyle w:val="ListParagraph"/>
        <w:spacing w:line="276" w:lineRule="auto" w:after="40"/>
        <w:ind w:left="357" w:hanging="357"/>
        <w:jc w:val="left"/>
      </w:pPr>
      <w:r>
        <w:rPr>
          <w:rFonts w:ascii="Arial" w:hAnsi="Arial" w:cs="Arial"/>
          <w:color w:val="000000"/>
          <w:sz w:val="22"/>
        </w:rPr>
        <w:t>• Kauffmann, S., &amp; Kennedy, A. (2012). *Avid editing: A guide for beginning and intermediate users* (4th ed.). Focal Press. ISBN 978-0240818566</w:t>
      </w:r>
    </w:p>
    <w:p>
      <w:pPr>
        <w:pStyle w:val="ListParagraph"/>
        <w:spacing w:line="276" w:lineRule="auto" w:after="40"/>
        <w:ind w:left="357" w:hanging="357"/>
        <w:jc w:val="left"/>
      </w:pPr>
      <w:r>
        <w:rPr>
          <w:rFonts w:ascii="Arial" w:hAnsi="Arial" w:cs="Arial"/>
          <w:color w:val="000000"/>
          <w:sz w:val="22"/>
        </w:rPr>
        <w:t>• Dancyger, K. (2010). *The technique of film and video editing: History, theory, and practice* (5th ed.). Focal Press. ISBN 978-0240813974</w:t>
      </w:r>
    </w:p>
    <w:p>
      <w:pPr>
        <w:pStyle w:val="ListParagraph"/>
        <w:spacing w:line="276" w:lineRule="auto" w:after="40"/>
        <w:ind w:left="357" w:hanging="357"/>
        <w:jc w:val="left"/>
      </w:pPr>
      <w:r>
        <w:rPr>
          <w:rFonts w:ascii="Arial" w:hAnsi="Arial" w:cs="Arial"/>
          <w:color w:val="000000"/>
          <w:sz w:val="22"/>
        </w:rPr>
        <w:t>• Chandler, G. (2009). *Film editing: Great cuts every filmmaker and movie lover must know* (1st ed.). Michael Wiese Productions. ISBN 978-1932907629</w:t>
      </w:r>
    </w:p>
    <w:p>
      <w:pPr>
        <w:pStyle w:val="ListParagraph"/>
        <w:spacing w:line="276" w:lineRule="auto" w:after="40"/>
        <w:ind w:left="357" w:hanging="357"/>
        <w:jc w:val="left"/>
      </w:pPr>
      <w:r>
        <w:rPr>
          <w:rFonts w:ascii="Arial" w:hAnsi="Arial" w:cs="Arial"/>
          <w:color w:val="000000"/>
          <w:sz w:val="22"/>
        </w:rPr>
        <w:t>• Pearlman, K. (2009). *Cutting rhythms: Shaping the film edit* (1st ed.). Focal Press. ISBN 978-0240810140</w:t>
      </w:r>
    </w:p>
    <w:p>
      <w:pPr>
        <w:pStyle w:val="ListParagraph"/>
        <w:spacing w:line="276" w:lineRule="auto" w:after="40"/>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pPr>
        <w:pStyle w:val="ListParagraph"/>
        <w:spacing w:line="276" w:lineRule="auto" w:after="40"/>
        <w:ind w:left="357" w:hanging="357"/>
        <w:jc w:val="left"/>
      </w:pPr>
      <w:r>
        <w:rPr>
          <w:rFonts w:ascii="Arial" w:hAnsi="Arial" w:cs="Arial"/>
          <w:color w:val="000000"/>
          <w:sz w:val="22"/>
        </w:rPr>
        <w:t>• Rosenberg, J. (2010). *The healthy edit: Creative editing techniques for perfecting your movie* (1st ed.). Focal Press. ISBN 978-0240814469</w:t>
      </w:r>
    </w:p>
    <w:p>
      <w:pPr>
        <w:spacing w:line="276" w:lineRule="auto" w:after="120"/>
        <w:jc w:val="left"/>
      </w:pPr>
      <w:r>
        <w:rPr>
          <w:rFonts w:ascii="Arial" w:hAnsi="Arial" w:cs="Arial"/>
          <w:color w:val="000000"/>
          <w:sz w:val="22"/>
        </w:rPr>
        <w:t>Rujukan tambahan (APA):</w:t>
      </w:r>
    </w:p>
    <w:p>
      <w:pPr>
        <w:pStyle w:val="ListParagraph"/>
        <w:spacing w:line="276" w:lineRule="auto" w:after="40"/>
        <w:ind w:left="357" w:hanging="357"/>
        <w:jc w:val="left"/>
      </w:pPr>
      <w:r>
        <w:rPr>
          <w:rFonts w:ascii="Arial" w:hAnsi="Arial" w:cs="Arial"/>
          <w:color w:val="000000"/>
          <w:sz w:val="22"/>
        </w:rPr>
        <w:t>• Dancyger, K. (2018). *The technique of film and video editing: History, theory, and practice* (6th ed.). Routledge.</w:t>
      </w:r>
    </w:p>
    <w:p>
      <w:pPr>
        <w:pStyle w:val="ListParagraph"/>
        <w:spacing w:line="276" w:lineRule="auto" w:after="40"/>
        <w:ind w:left="357" w:hanging="357"/>
        <w:jc w:val="left"/>
      </w:pPr>
      <w:r>
        <w:rPr>
          <w:rFonts w:ascii="Arial" w:hAnsi="Arial" w:cs="Arial"/>
          <w:color w:val="000000"/>
          <w:sz w:val="22"/>
        </w:rPr>
        <w:t>• Murch, W. (2001). *In the blink of an eye: A perspective on film editing* (2nd ed.). Silman-James Press.</w:t>
      </w:r>
    </w:p>
    <w:p>
      <w:pPr>
        <w:pStyle w:val="ListParagraph"/>
        <w:spacing w:line="276" w:lineRule="auto" w:after="40"/>
        <w:ind w:left="357" w:hanging="357"/>
        <w:jc w:val="left"/>
      </w:pPr>
      <w:r>
        <w:rPr>
          <w:rFonts w:ascii="Arial" w:hAnsi="Arial" w:cs="Arial"/>
          <w:color w:val="000000"/>
          <w:sz w:val="22"/>
        </w:rPr>
        <w:t>• Ascher, S., &amp; Pincus, E. (2012). *The filmmaker's handbook: A comprehensive guide for the digital age* (4th ed.). Plume.</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