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 / OFFLINE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IT-072-3:2012-C03-W05 / Produce final offline</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IT-072-3:2012-C03/NP(5/5)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Penghasilan Final Offline dan Eksport ke Edit-Decision-List (EDL)</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Offline Timeline Project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perkara yang perlu disemak dalam semakan menyeluruh (final review).</w:t>
      </w:r>
    </w:p>
    <w:p>
      <w:pPr>
        <w:pStyle w:val="ListParagraph"/>
        <w:spacing w:line="276" w:lineRule="auto" w:after="40"/>
        <w:ind w:left="357" w:hanging="357"/>
        <w:jc w:val="left"/>
      </w:pPr>
      <w:r>
        <w:rPr>
          <w:rFonts w:ascii="Arial" w:hAnsi="Arial" w:cs="Arial"/>
          <w:color w:val="000000"/>
          <w:sz w:val="22"/>
        </w:rPr>
        <w:t>• Menjelaskan kepentingan mengunci (lock) projek sebelum ke online editing.</w:t>
      </w:r>
    </w:p>
    <w:p>
      <w:pPr>
        <w:pStyle w:val="ListParagraph"/>
        <w:spacing w:line="276" w:lineRule="auto" w:after="40"/>
        <w:ind w:left="357" w:hanging="357"/>
        <w:jc w:val="left"/>
      </w:pPr>
      <w:r>
        <w:rPr>
          <w:rFonts w:ascii="Arial" w:hAnsi="Arial" w:cs="Arial"/>
          <w:color w:val="000000"/>
          <w:sz w:val="22"/>
        </w:rPr>
        <w:t>• Mengaitkan kos perubahan struktur naratif selepas projek dikunci.</w:t>
      </w:r>
    </w:p>
    <w:p>
      <w:pPr>
        <w:spacing w:before="120" w:after="120" w:line="276" w:lineRule="auto"/>
        <w:jc w:val="left"/>
      </w:pPr>
      <w:r>
        <w:rPr>
          <w:rFonts w:ascii="Arial" w:hAnsi="Arial" w:cs="Arial"/>
          <w:b/>
          <w:color w:val="000000"/>
          <w:sz w:val="22"/>
        </w:rPr>
        <w:t>1. Semakan Menyeluruh (Final Review)</w:t>
      </w:r>
    </w:p>
    <w:p>
      <w:pPr>
        <w:spacing w:line="276" w:lineRule="auto" w:after="120"/>
        <w:jc w:val="left"/>
      </w:pPr>
      <w:r>
        <w:rPr>
          <w:rFonts w:ascii="Arial" w:hAnsi="Arial" w:cs="Arial"/>
          <w:color w:val="000000"/>
          <w:sz w:val="22"/>
        </w:rPr>
        <w:t>Sebelum sesuatu sequence dianggap "final offline", Editor perlu melaksanakan semakan menyeluruh terhadap keseluruhan timeline projek offline.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Perkara Disemak</w:t>
            </w:r>
          </w:p>
        </w:tc>
        <w:tc>
          <w:tcPr>
            <w:tcW w:type="dxa" w:w="4656"/>
            <w:tcMar>
              <w:top w:w="57" w:type="dxa"/>
              <w:left w:w="57" w:type="dxa"/>
              <w:bottom w:w="57" w:type="dxa"/>
              <w:right w:w="57" w:type="dxa"/>
            </w:tcMar>
            <w:shd w:val="clear" w:color="auto" w:fill="D9D9D9"/>
          </w:tcPr>
          <w:p>
            <w:r>
              <w:rPr>
                <w:rFonts w:ascii="Arial" w:hAnsi="Arial" w:cs="Arial"/>
                <w:b/>
                <w:color w:val="000000"/>
                <w:sz w:val="20"/>
              </w:rPr>
              <w:t>Tujuan</w:t>
            </w:r>
          </w:p>
        </w:tc>
      </w:tr>
      <w:tr>
        <w:trPr>
          <w:cantSplit w:val="true"/>
        </w:trPr>
        <w:tc>
          <w:tcPr>
            <w:tcW w:type="dxa" w:w="4656"/>
            <w:tcMar>
              <w:top w:w="57" w:type="dxa"/>
              <w:left w:w="57" w:type="dxa"/>
              <w:bottom w:w="57" w:type="dxa"/>
              <w:right w:w="57" w:type="dxa"/>
            </w:tcMar>
          </w:tcPr>
          <w:p>
            <w:r>
              <w:rPr>
                <w:rFonts w:ascii="Arial" w:hAnsi="Arial" w:cs="Arial"/>
                <w:color w:val="000000"/>
                <w:sz w:val="20"/>
              </w:rPr>
              <w:t>Ketepatan turutan scene mengikut skrip dikemas kini</w:t>
            </w:r>
          </w:p>
        </w:tc>
        <w:tc>
          <w:tcPr>
            <w:tcW w:type="dxa" w:w="4656"/>
            <w:tcMar>
              <w:top w:w="57" w:type="dxa"/>
              <w:left w:w="57" w:type="dxa"/>
              <w:bottom w:w="57" w:type="dxa"/>
              <w:right w:w="57" w:type="dxa"/>
            </w:tcMar>
          </w:tcPr>
          <w:p>
            <w:r>
              <w:rPr>
                <w:rFonts w:ascii="Arial" w:hAnsi="Arial" w:cs="Arial"/>
                <w:color w:val="000000"/>
                <w:sz w:val="20"/>
              </w:rPr>
              <w:t>Memastikan pindaan semasa pembaikan WA3 telah diambil kira</w:t>
            </w:r>
          </w:p>
        </w:tc>
      </w:tr>
      <w:tr>
        <w:trPr>
          <w:cantSplit w:val="true"/>
        </w:trPr>
        <w:tc>
          <w:tcPr>
            <w:tcW w:type="dxa" w:w="4656"/>
            <w:tcMar>
              <w:top w:w="57" w:type="dxa"/>
              <w:left w:w="57" w:type="dxa"/>
              <w:bottom w:w="57" w:type="dxa"/>
              <w:right w:w="57" w:type="dxa"/>
            </w:tcMar>
          </w:tcPr>
          <w:p>
            <w:r>
              <w:rPr>
                <w:rFonts w:ascii="Arial" w:hAnsi="Arial" w:cs="Arial"/>
                <w:color w:val="000000"/>
                <w:sz w:val="20"/>
              </w:rPr>
              <w:t>Kesempurnaan elemen AV placeholder (WA4)</w:t>
            </w:r>
          </w:p>
        </w:tc>
        <w:tc>
          <w:tcPr>
            <w:tcW w:type="dxa" w:w="4656"/>
            <w:tcMar>
              <w:top w:w="57" w:type="dxa"/>
              <w:left w:w="57" w:type="dxa"/>
              <w:bottom w:w="57" w:type="dxa"/>
              <w:right w:w="57" w:type="dxa"/>
            </w:tcMar>
          </w:tcPr>
          <w:p>
            <w:r>
              <w:rPr>
                <w:rFonts w:ascii="Arial" w:hAnsi="Arial" w:cs="Arial"/>
                <w:color w:val="000000"/>
                <w:sz w:val="20"/>
              </w:rPr>
              <w:t>Memastikan VFX, audio, music, subtitle, supers lengkap</w:t>
            </w:r>
          </w:p>
        </w:tc>
      </w:tr>
      <w:tr>
        <w:trPr>
          <w:cantSplit w:val="true"/>
        </w:trPr>
        <w:tc>
          <w:tcPr>
            <w:tcW w:type="dxa" w:w="4656"/>
            <w:tcMar>
              <w:top w:w="57" w:type="dxa"/>
              <w:left w:w="57" w:type="dxa"/>
              <w:bottom w:w="57" w:type="dxa"/>
              <w:right w:w="57" w:type="dxa"/>
            </w:tcMar>
          </w:tcPr>
          <w:p>
            <w:r>
              <w:rPr>
                <w:rFonts w:ascii="Arial" w:hAnsi="Arial" w:cs="Arial"/>
                <w:color w:val="000000"/>
                <w:sz w:val="20"/>
              </w:rPr>
              <w:t>Ketiadaan jurang (gap) pada track video/audio</w:t>
            </w:r>
          </w:p>
        </w:tc>
        <w:tc>
          <w:tcPr>
            <w:tcW w:type="dxa" w:w="4656"/>
            <w:tcMar>
              <w:top w:w="57" w:type="dxa"/>
              <w:left w:w="57" w:type="dxa"/>
              <w:bottom w:w="57" w:type="dxa"/>
              <w:right w:w="57" w:type="dxa"/>
            </w:tcMar>
          </w:tcPr>
          <w:p>
            <w:r>
              <w:rPr>
                <w:rFonts w:ascii="Arial" w:hAnsi="Arial" w:cs="Arial"/>
                <w:color w:val="000000"/>
                <w:sz w:val="20"/>
              </w:rPr>
              <w:t>Mengelakkan kekosongan tidak disengajakan</w:t>
            </w:r>
          </w:p>
        </w:tc>
      </w:tr>
      <w:tr>
        <w:trPr>
          <w:cantSplit w:val="true"/>
        </w:trPr>
        <w:tc>
          <w:tcPr>
            <w:tcW w:type="dxa" w:w="4656"/>
            <w:tcMar>
              <w:top w:w="57" w:type="dxa"/>
              <w:left w:w="57" w:type="dxa"/>
              <w:bottom w:w="57" w:type="dxa"/>
              <w:right w:w="57" w:type="dxa"/>
            </w:tcMar>
          </w:tcPr>
          <w:p>
            <w:r>
              <w:rPr>
                <w:rFonts w:ascii="Arial" w:hAnsi="Arial" w:cs="Arial"/>
                <w:color w:val="000000"/>
                <w:sz w:val="20"/>
              </w:rPr>
              <w:t>Pengesahan tempoh (duration) akhir</w:t>
            </w:r>
          </w:p>
        </w:tc>
        <w:tc>
          <w:tcPr>
            <w:tcW w:type="dxa" w:w="4656"/>
            <w:tcMar>
              <w:top w:w="57" w:type="dxa"/>
              <w:left w:w="57" w:type="dxa"/>
              <w:bottom w:w="57" w:type="dxa"/>
              <w:right w:w="57" w:type="dxa"/>
            </w:tcMar>
          </w:tcPr>
          <w:p>
            <w:r>
              <w:rPr>
                <w:rFonts w:ascii="Arial" w:hAnsi="Arial" w:cs="Arial"/>
                <w:color w:val="000000"/>
                <w:sz w:val="20"/>
              </w:rPr>
              <w:t>Selaras dengan keperluan slot siaran atau spesifikasi pelanggan</w:t>
            </w:r>
          </w:p>
        </w:tc>
      </w:tr>
    </w:tbl>
    <w:p>
      <w:pPr>
        <w:spacing w:before="120" w:after="120" w:line="276" w:lineRule="auto"/>
        <w:jc w:val="left"/>
      </w:pPr>
      <w:r>
        <w:rPr>
          <w:rFonts w:ascii="Arial" w:hAnsi="Arial" w:cs="Arial"/>
          <w:b/>
          <w:color w:val="000000"/>
          <w:sz w:val="22"/>
        </w:rPr>
        <w:t>2. Kepentingan Mengunci Projek</w:t>
      </w:r>
    </w:p>
    <w:p>
      <w:pPr>
        <w:spacing w:line="276" w:lineRule="auto" w:after="120"/>
        <w:jc w:val="left"/>
      </w:pPr>
      <w:r>
        <w:rPr>
          <w:rFonts w:ascii="Arial" w:hAnsi="Arial" w:cs="Arial"/>
          <w:color w:val="000000"/>
          <w:sz w:val="22"/>
        </w:rP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w:t>
      </w:r>
    </w:p>
    <w:p>
      <w:pPr>
        <w:spacing w:before="120" w:after="120" w:line="276" w:lineRule="auto"/>
        <w:jc w:val="left"/>
      </w:pPr>
      <w:r>
        <w:rPr>
          <w:rFonts w:ascii="Arial" w:hAnsi="Arial" w:cs="Arial"/>
          <w:b/>
          <w:color w:val="000000"/>
          <w:sz w:val="24"/>
        </w:rPr>
        <w:t>Bab 2: Edit-Decision-List (EDL)</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Mentakrifkan fungsi EDL dalam aliran kerja offline ke online.</w:t>
      </w:r>
    </w:p>
    <w:p>
      <w:pPr>
        <w:pStyle w:val="ListParagraph"/>
        <w:spacing w:line="276" w:lineRule="auto" w:after="40"/>
        <w:ind w:left="357" w:hanging="357"/>
        <w:jc w:val="left"/>
      </w:pPr>
      <w:r>
        <w:rPr>
          <w:rFonts w:ascii="Arial" w:hAnsi="Arial" w:cs="Arial"/>
          <w:color w:val="000000"/>
          <w:sz w:val="22"/>
        </w:rPr>
        <w:t>• Menjelaskan maklumat yang direkodkan dalam EDL.</w:t>
      </w:r>
    </w:p>
    <w:p>
      <w:pPr>
        <w:pStyle w:val="ListParagraph"/>
        <w:spacing w:line="276" w:lineRule="auto" w:after="40"/>
        <w:ind w:left="357" w:hanging="357"/>
        <w:jc w:val="left"/>
      </w:pPr>
      <w:r>
        <w:rPr>
          <w:rFonts w:ascii="Arial" w:hAnsi="Arial" w:cs="Arial"/>
          <w:color w:val="000000"/>
          <w:sz w:val="22"/>
        </w:rPr>
        <w:t>• Mengenal pasti format EDL standard industri.</w:t>
      </w:r>
    </w:p>
    <w:p>
      <w:pPr>
        <w:spacing w:before="120" w:after="120" w:line="276" w:lineRule="auto"/>
        <w:jc w:val="left"/>
      </w:pPr>
      <w:r>
        <w:rPr>
          <w:rFonts w:ascii="Arial" w:hAnsi="Arial" w:cs="Arial"/>
          <w:b/>
          <w:color w:val="000000"/>
          <w:sz w:val="22"/>
        </w:rPr>
        <w:t>1. Definisi dan Fungsi EDL</w:t>
      </w:r>
    </w:p>
    <w:p>
      <w:pPr>
        <w:spacing w:line="276" w:lineRule="auto" w:after="120"/>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pPr>
        <w:spacing w:before="120" w:after="120" w:line="276" w:lineRule="auto"/>
        <w:jc w:val="left"/>
      </w:pPr>
      <w:r>
        <w:rPr>
          <w:rFonts w:ascii="Arial" w:hAnsi="Arial" w:cs="Arial"/>
          <w:b/>
          <w:color w:val="000000"/>
          <w:sz w:val="22"/>
        </w:rPr>
        <w:t>2. Proses Conform</w:t>
      </w:r>
    </w:p>
    <w:p>
      <w:pPr>
        <w:spacing w:line="276" w:lineRule="auto" w:after="120"/>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w:t>
      </w:r>
    </w:p>
    <w:p>
      <w:pPr>
        <w:spacing w:before="120" w:after="120" w:line="276" w:lineRule="auto"/>
        <w:jc w:val="left"/>
      </w:pPr>
      <w:r>
        <w:rPr>
          <w:rFonts w:ascii="Arial" w:hAnsi="Arial" w:cs="Arial"/>
          <w:b/>
          <w:color w:val="000000"/>
          <w:sz w:val="22"/>
        </w:rPr>
        <w:t>3. Format Standard Industri</w:t>
      </w:r>
    </w:p>
    <w:p>
      <w:pPr>
        <w:spacing w:line="276" w:lineRule="auto" w:after="120"/>
        <w:jc w:val="left"/>
      </w:pPr>
      <w:r>
        <w:rPr>
          <w:rFonts w:ascii="Arial" w:hAnsi="Arial" w:cs="Arial"/>
          <w:color w:val="000000"/>
          <w:sz w:val="22"/>
        </w:rPr>
        <w:t>Format EDL yang biasa digunakan dalam industri ialah format CMX3600, yang serasi dengan hampir semua sistem NLE profesional.</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EDL merekodkan keputusan penyuntingan proxy secara terperinci dalam format CMX3600, membolehkan proses conform ke footage resolusi penuh tanpa membina semula sequence.</w:t>
      </w:r>
    </w:p>
    <w:p>
      <w:pPr>
        <w:spacing w:before="120" w:after="120" w:line="276" w:lineRule="auto"/>
        <w:jc w:val="left"/>
      </w:pPr>
      <w:r>
        <w:rPr>
          <w:rFonts w:ascii="Arial" w:hAnsi="Arial" w:cs="Arial"/>
          <w:b/>
          <w:color w:val="000000"/>
          <w:sz w:val="24"/>
        </w:rPr>
        <w:t>Bab 3: XML / AAF Import/Export Process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kegunaan format XML dan AAF.</w:t>
      </w:r>
    </w:p>
    <w:p>
      <w:pPr>
        <w:pStyle w:val="ListParagraph"/>
        <w:spacing w:line="276" w:lineRule="auto" w:after="40"/>
        <w:ind w:left="357" w:hanging="357"/>
        <w:jc w:val="left"/>
      </w:pPr>
      <w:r>
        <w:rPr>
          <w:rFonts w:ascii="Arial" w:hAnsi="Arial" w:cs="Arial"/>
          <w:color w:val="000000"/>
          <w:sz w:val="22"/>
        </w:rPr>
        <w:t>• Memilih format eksport yang sesuai dengan sistem online.</w:t>
      </w:r>
    </w:p>
    <w:p>
      <w:pPr>
        <w:pStyle w:val="ListParagraph"/>
        <w:spacing w:line="276" w:lineRule="auto" w:after="40"/>
        <w:ind w:left="357" w:hanging="357"/>
        <w:jc w:val="left"/>
      </w:pPr>
      <w:r>
        <w:rPr>
          <w:rFonts w:ascii="Arial" w:hAnsi="Arial" w:cs="Arial"/>
          <w:color w:val="000000"/>
          <w:sz w:val="22"/>
        </w:rPr>
        <w:t>• Mengenal pasti kesan kesilapan memilih format eksport.</w:t>
      </w:r>
    </w:p>
    <w:p>
      <w:pPr>
        <w:spacing w:before="120" w:after="120" w:line="276" w:lineRule="auto"/>
        <w:jc w:val="left"/>
      </w:pPr>
      <w:r>
        <w:rPr>
          <w:rFonts w:ascii="Arial" w:hAnsi="Arial" w:cs="Arial"/>
          <w:b/>
          <w:color w:val="000000"/>
          <w:sz w:val="22"/>
        </w:rPr>
        <w:t>1. Perbandingan Format XML dan AAF</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Format</w:t>
            </w:r>
          </w:p>
        </w:tc>
        <w:tc>
          <w:tcPr>
            <w:tcW w:type="dxa" w:w="4656"/>
            <w:tcMar>
              <w:top w:w="57" w:type="dxa"/>
              <w:left w:w="57" w:type="dxa"/>
              <w:bottom w:w="57" w:type="dxa"/>
              <w:right w:w="57" w:type="dxa"/>
            </w:tcMar>
            <w:shd w:val="clear" w:color="auto" w:fill="D9D9D9"/>
          </w:tcPr>
          <w:p>
            <w:r>
              <w:rPr>
                <w:rFonts w:ascii="Arial" w:hAnsi="Arial" w:cs="Arial"/>
                <w:b/>
                <w:color w:val="000000"/>
                <w:sz w:val="20"/>
              </w:rPr>
              <w:t>Kegunaan Utama</w:t>
            </w:r>
          </w:p>
        </w:tc>
      </w:tr>
      <w:tr>
        <w:trPr>
          <w:cantSplit w:val="true"/>
        </w:trPr>
        <w:tc>
          <w:tcPr>
            <w:tcW w:type="dxa" w:w="4656"/>
            <w:tcMar>
              <w:top w:w="57" w:type="dxa"/>
              <w:left w:w="57" w:type="dxa"/>
              <w:bottom w:w="57" w:type="dxa"/>
              <w:right w:w="57" w:type="dxa"/>
            </w:tcMar>
          </w:tcPr>
          <w:p>
            <w:r>
              <w:rPr>
                <w:rFonts w:ascii="Arial" w:hAnsi="Arial" w:cs="Arial"/>
                <w:color w:val="000000"/>
                <w:sz w:val="20"/>
              </w:rPr>
              <w:t>XML (Extensible Markup Language)</w:t>
            </w:r>
          </w:p>
        </w:tc>
        <w:tc>
          <w:tcPr>
            <w:tcW w:type="dxa" w:w="4656"/>
            <w:tcMar>
              <w:top w:w="57" w:type="dxa"/>
              <w:left w:w="57" w:type="dxa"/>
              <w:bottom w:w="57" w:type="dxa"/>
              <w:right w:w="57" w:type="dxa"/>
            </w:tcMar>
          </w:tcPr>
          <w:p>
            <w:r>
              <w:rPr>
                <w:rFonts w:ascii="Arial" w:hAnsi="Arial" w:cs="Arial"/>
                <w:color w:val="000000"/>
                <w:sz w:val="20"/>
              </w:rPr>
              <w:t>Format terbuka yang membawa metadata track berbilang lapisan, kesan visual asas, dan penyesuaian audio; digunakan meluas antara Final Cut Pro dan Adobe Premiere Pro</w:t>
            </w:r>
          </w:p>
        </w:tc>
      </w:tr>
      <w:tr>
        <w:trPr>
          <w:cantSplit w:val="true"/>
        </w:trPr>
        <w:tc>
          <w:tcPr>
            <w:tcW w:type="dxa" w:w="4656"/>
            <w:tcMar>
              <w:top w:w="57" w:type="dxa"/>
              <w:left w:w="57" w:type="dxa"/>
              <w:bottom w:w="57" w:type="dxa"/>
              <w:right w:w="57" w:type="dxa"/>
            </w:tcMar>
          </w:tcPr>
          <w:p>
            <w:r>
              <w:rPr>
                <w:rFonts w:ascii="Arial" w:hAnsi="Arial" w:cs="Arial"/>
                <w:color w:val="000000"/>
                <w:sz w:val="20"/>
              </w:rPr>
              <w:t>AAF (Advanced Authoring Format)</w:t>
            </w:r>
          </w:p>
        </w:tc>
        <w:tc>
          <w:tcPr>
            <w:tcW w:type="dxa" w:w="4656"/>
            <w:tcMar>
              <w:top w:w="57" w:type="dxa"/>
              <w:left w:w="57" w:type="dxa"/>
              <w:bottom w:w="57" w:type="dxa"/>
              <w:right w:w="57" w:type="dxa"/>
            </w:tcMar>
          </w:tcPr>
          <w:p>
            <w:r>
              <w:rPr>
                <w:rFonts w:ascii="Arial" w:hAnsi="Arial" w:cs="Arial"/>
                <w:color w:val="000000"/>
                <w:sz w:val="20"/>
              </w:rPr>
              <w:t>Direka khusus untuk membawa maklumat audio dan video kompleks (kesan, transisi, metadata media); digunakan meluas dengan Avid Media Composer</w:t>
            </w:r>
          </w:p>
        </w:tc>
      </w:tr>
    </w:tbl>
    <w:p>
      <w:pPr>
        <w:spacing w:before="120" w:after="120" w:line="276" w:lineRule="auto"/>
        <w:jc w:val="left"/>
      </w:pPr>
      <w:r>
        <w:rPr>
          <w:rFonts w:ascii="Arial" w:hAnsi="Arial" w:cs="Arial"/>
          <w:b/>
          <w:color w:val="000000"/>
          <w:sz w:val="22"/>
        </w:rPr>
        <w:t>2. Contoh Studio: Kesilapan Pemilihan Format</w:t>
      </w:r>
    </w:p>
    <w:p>
      <w:pPr>
        <w:spacing w:line="276" w:lineRule="auto" w:after="120"/>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w:t>
      </w:r>
    </w:p>
    <w:p>
      <w:pPr>
        <w:spacing w:before="120" w:after="120" w:line="276" w:lineRule="auto"/>
        <w:jc w:val="left"/>
      </w:pPr>
      <w:r>
        <w:rPr>
          <w:rFonts w:ascii="Arial" w:hAnsi="Arial" w:cs="Arial"/>
          <w:b/>
          <w:color w:val="000000"/>
          <w:sz w:val="24"/>
        </w:rPr>
        <w:t>Bab 4: Editing Software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keserasian format eksport/import bagi setiap perisian NLE.</w:t>
      </w:r>
    </w:p>
    <w:p>
      <w:pPr>
        <w:pStyle w:val="ListParagraph"/>
        <w:spacing w:line="276" w:lineRule="auto" w:after="40"/>
        <w:ind w:left="357" w:hanging="357"/>
        <w:jc w:val="left"/>
      </w:pPr>
      <w:r>
        <w:rPr>
          <w:rFonts w:ascii="Arial" w:hAnsi="Arial" w:cs="Arial"/>
          <w:color w:val="000000"/>
          <w:sz w:val="22"/>
        </w:rPr>
        <w:t>• Mengenal pasti risiko ketidakserasian versi perisian.</w:t>
      </w:r>
    </w:p>
    <w:p>
      <w:pPr>
        <w:pStyle w:val="ListParagraph"/>
        <w:spacing w:line="276" w:lineRule="auto" w:after="40"/>
        <w:ind w:left="357" w:hanging="357"/>
        <w:jc w:val="left"/>
      </w:pPr>
      <w:r>
        <w:rPr>
          <w:rFonts w:ascii="Arial" w:hAnsi="Arial" w:cs="Arial"/>
          <w:color w:val="000000"/>
          <w:sz w:val="22"/>
        </w:rPr>
        <w:t>• Memilih perisian yang sesuai dengan keperluan online editing.</w:t>
      </w:r>
    </w:p>
    <w:p>
      <w:pPr>
        <w:spacing w:before="120" w:after="120" w:line="276" w:lineRule="auto"/>
        <w:jc w:val="left"/>
      </w:pPr>
      <w:r>
        <w:rPr>
          <w:rFonts w:ascii="Arial" w:hAnsi="Arial" w:cs="Arial"/>
          <w:b/>
          <w:color w:val="000000"/>
          <w:sz w:val="22"/>
        </w:rPr>
        <w:t>1. Keserasian Format Mengikut Perisian</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Perisian</w:t>
            </w:r>
          </w:p>
        </w:tc>
        <w:tc>
          <w:tcPr>
            <w:tcW w:type="dxa" w:w="4656"/>
            <w:tcMar>
              <w:top w:w="57" w:type="dxa"/>
              <w:left w:w="57" w:type="dxa"/>
              <w:bottom w:w="57" w:type="dxa"/>
              <w:right w:w="57" w:type="dxa"/>
            </w:tcMar>
            <w:shd w:val="clear" w:color="auto" w:fill="D9D9D9"/>
          </w:tcPr>
          <w:p>
            <w:r>
              <w:rPr>
                <w:rFonts w:ascii="Arial" w:hAnsi="Arial" w:cs="Arial"/>
                <w:b/>
                <w:color w:val="000000"/>
                <w:sz w:val="20"/>
              </w:rPr>
              <w:t>Format Eksport/Import Disokong</w:t>
            </w:r>
          </w:p>
        </w:tc>
      </w:tr>
      <w:tr>
        <w:trPr>
          <w:cantSplit w:val="true"/>
        </w:trPr>
        <w:tc>
          <w:tcPr>
            <w:tcW w:type="dxa" w:w="4656"/>
            <w:tcMar>
              <w:top w:w="57" w:type="dxa"/>
              <w:left w:w="57" w:type="dxa"/>
              <w:bottom w:w="57" w:type="dxa"/>
              <w:right w:w="57" w:type="dxa"/>
            </w:tcMar>
          </w:tcPr>
          <w:p>
            <w:r>
              <w:rPr>
                <w:rFonts w:ascii="Arial" w:hAnsi="Arial" w:cs="Arial"/>
                <w:color w:val="000000"/>
                <w:sz w:val="20"/>
              </w:rPr>
              <w:t>Final Cut Pro (FCP)</w:t>
            </w:r>
          </w:p>
        </w:tc>
        <w:tc>
          <w:tcPr>
            <w:tcW w:type="dxa" w:w="4656"/>
            <w:tcMar>
              <w:top w:w="57" w:type="dxa"/>
              <w:left w:w="57" w:type="dxa"/>
              <w:bottom w:w="57" w:type="dxa"/>
              <w:right w:w="57" w:type="dxa"/>
            </w:tcMar>
          </w:tcPr>
          <w:p>
            <w:r>
              <w:rPr>
                <w:rFonts w:ascii="Arial" w:hAnsi="Arial" w:cs="Arial"/>
                <w:color w:val="000000"/>
                <w:sz w:val="20"/>
              </w:rPr>
              <w:t>XML secara native, EDL turut disokong</w:t>
            </w:r>
          </w:p>
        </w:tc>
      </w:tr>
      <w:tr>
        <w:trPr>
          <w:cantSplit w:val="true"/>
        </w:trPr>
        <w:tc>
          <w:tcPr>
            <w:tcW w:type="dxa" w:w="4656"/>
            <w:tcMar>
              <w:top w:w="57" w:type="dxa"/>
              <w:left w:w="57" w:type="dxa"/>
              <w:bottom w:w="57" w:type="dxa"/>
              <w:right w:w="57" w:type="dxa"/>
            </w:tcMar>
          </w:tcPr>
          <w:p>
            <w:r>
              <w:rPr>
                <w:rFonts w:ascii="Arial" w:hAnsi="Arial" w:cs="Arial"/>
                <w:color w:val="000000"/>
                <w:sz w:val="20"/>
              </w:rPr>
              <w:t>Avid Media Composer / Symphony</w:t>
            </w:r>
          </w:p>
        </w:tc>
        <w:tc>
          <w:tcPr>
            <w:tcW w:type="dxa" w:w="4656"/>
            <w:tcMar>
              <w:top w:w="57" w:type="dxa"/>
              <w:left w:w="57" w:type="dxa"/>
              <w:bottom w:w="57" w:type="dxa"/>
              <w:right w:w="57" w:type="dxa"/>
            </w:tcMar>
          </w:tcPr>
          <w:p>
            <w:r>
              <w:rPr>
                <w:rFonts w:ascii="Arial" w:hAnsi="Arial" w:cs="Arial"/>
                <w:color w:val="000000"/>
                <w:sz w:val="20"/>
              </w:rPr>
              <w:t>Platform asal AAF, turut menyokong EDL CMX3600</w:t>
            </w:r>
          </w:p>
        </w:tc>
      </w:tr>
      <w:tr>
        <w:trPr>
          <w:cantSplit w:val="true"/>
        </w:trPr>
        <w:tc>
          <w:tcPr>
            <w:tcW w:type="dxa" w:w="4656"/>
            <w:tcMar>
              <w:top w:w="57" w:type="dxa"/>
              <w:left w:w="57" w:type="dxa"/>
              <w:bottom w:w="57" w:type="dxa"/>
              <w:right w:w="57" w:type="dxa"/>
            </w:tcMar>
          </w:tcPr>
          <w:p>
            <w:r>
              <w:rPr>
                <w:rFonts w:ascii="Arial" w:hAnsi="Arial" w:cs="Arial"/>
                <w:color w:val="000000"/>
                <w:sz w:val="20"/>
              </w:rPr>
              <w:t>Adobe Premiere Pro</w:t>
            </w:r>
          </w:p>
        </w:tc>
        <w:tc>
          <w:tcPr>
            <w:tcW w:type="dxa" w:w="4656"/>
            <w:tcMar>
              <w:top w:w="57" w:type="dxa"/>
              <w:left w:w="57" w:type="dxa"/>
              <w:bottom w:w="57" w:type="dxa"/>
              <w:right w:w="57" w:type="dxa"/>
            </w:tcMar>
          </w:tcPr>
          <w:p>
            <w:r>
              <w:rPr>
                <w:rFonts w:ascii="Arial" w:hAnsi="Arial" w:cs="Arial"/>
                <w:color w:val="000000"/>
                <w:sz w:val="20"/>
              </w:rPr>
              <w:t>XML dan EDL, serta AAF untuk pertukaran audio dengan Avid</w:t>
            </w:r>
          </w:p>
        </w:tc>
      </w:tr>
      <w:tr>
        <w:trPr>
          <w:cantSplit w:val="true"/>
        </w:trPr>
        <w:tc>
          <w:tcPr>
            <w:tcW w:type="dxa" w:w="4656"/>
            <w:tcMar>
              <w:top w:w="57" w:type="dxa"/>
              <w:left w:w="57" w:type="dxa"/>
              <w:bottom w:w="57" w:type="dxa"/>
              <w:right w:w="57" w:type="dxa"/>
            </w:tcMar>
          </w:tcPr>
          <w:p>
            <w:r>
              <w:rPr>
                <w:rFonts w:ascii="Arial" w:hAnsi="Arial" w:cs="Arial"/>
                <w:color w:val="000000"/>
                <w:sz w:val="20"/>
              </w:rPr>
              <w:t>Sony Vegas, Canopus Edius, AutoDesk Smoke</w:t>
            </w:r>
          </w:p>
        </w:tc>
        <w:tc>
          <w:tcPr>
            <w:tcW w:type="dxa" w:w="4656"/>
            <w:tcMar>
              <w:top w:w="57" w:type="dxa"/>
              <w:left w:w="57" w:type="dxa"/>
              <w:bottom w:w="57" w:type="dxa"/>
              <w:right w:w="57" w:type="dxa"/>
            </w:tcMar>
          </w:tcPr>
          <w:p>
            <w:r>
              <w:rPr>
                <w:rFonts w:ascii="Arial" w:hAnsi="Arial" w:cs="Arial"/>
                <w:color w:val="000000"/>
                <w:sz w:val="20"/>
              </w:rPr>
              <w:t>EDL sebagai format pertukaran asas antara sistem</w:t>
            </w:r>
          </w:p>
        </w:tc>
      </w:tr>
    </w:tbl>
    <w:p>
      <w:pPr>
        <w:spacing w:before="120" w:after="120" w:line="276" w:lineRule="auto"/>
        <w:jc w:val="left"/>
      </w:pPr>
      <w:r>
        <w:rPr>
          <w:rFonts w:ascii="Arial" w:hAnsi="Arial" w:cs="Arial"/>
          <w:b/>
          <w:color w:val="000000"/>
          <w:sz w:val="22"/>
        </w:rPr>
        <w:t>2. Risiko Ketidakserasian Versi</w:t>
      </w:r>
    </w:p>
    <w:p>
      <w:pPr>
        <w:spacing w:line="276" w:lineRule="auto" w:after="120"/>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fungsi utama Edit-Decision-List (EDL) dalam aliran kerja daripada offline ke online editing?</w:t>
      </w:r>
    </w:p>
    <w:p>
      <w:pPr>
        <w:spacing w:line="276" w:lineRule="auto" w:after="120"/>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pPr>
        <w:pStyle w:val="ListParagraph"/>
        <w:spacing w:line="276" w:lineRule="auto" w:after="40"/>
        <w:ind w:left="357" w:hanging="357"/>
        <w:jc w:val="left"/>
      </w:pPr>
      <w:r>
        <w:rPr>
          <w:rFonts w:ascii="Arial" w:hAnsi="Arial" w:cs="Arial"/>
          <w:color w:val="000000"/>
          <w:sz w:val="22"/>
        </w:rPr>
        <w:t>• Soalan: Bezakan format XML dan AAF dari segi kegunaan utama masing-masing.</w:t>
      </w:r>
    </w:p>
    <w:p>
      <w:pPr>
        <w:spacing w:line="276" w:lineRule="auto" w:after="120"/>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pPr>
        <w:pStyle w:val="ListParagraph"/>
        <w:spacing w:line="276" w:lineRule="auto" w:after="40"/>
        <w:ind w:left="357" w:hanging="357"/>
        <w:jc w:val="left"/>
      </w:pPr>
      <w:r>
        <w:rPr>
          <w:rFonts w:ascii="Arial" w:hAnsi="Arial" w:cs="Arial"/>
          <w:color w:val="000000"/>
          <w:sz w:val="22"/>
        </w:rPr>
        <w:t>• Soalan: Mengapakah pengesahan rough cut oleh Director diperlukan sebelum final offline dieksport ke EDL?</w:t>
      </w:r>
    </w:p>
    <w:p>
      <w:pPr>
        <w:spacing w:line="276" w:lineRule="auto" w:after="120"/>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(rujukan rasmi bagi CU ini,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(APA):</w:t>
      </w:r>
    </w:p>
    <w:p>
      <w:pPr>
        <w:pStyle w:val="ListParagraph"/>
        <w:spacing w:line="276" w:lineRule="auto" w:after="40"/>
        <w:ind w:left="357" w:hanging="357"/>
        <w:jc w:val="left"/>
      </w:pPr>
      <w:r>
        <w:rPr>
          <w:rFonts w:ascii="Arial" w:hAnsi="Arial" w:cs="Arial"/>
          <w:color w:val="000000"/>
          <w:sz w:val="22"/>
        </w:rPr>
        <w:t>• Ohanian, T. A. (1998). *Digital nonlinear editing: Editing film and video on the desktop* (2nd ed.). Focal Press.</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pPr>
        <w:pStyle w:val="ListParagraph"/>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