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Z-009-2:2015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2</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CA04 HEALTH, SAFETY AND ENVIRONMENTAL ADAPTATION (Kesihatan, Keselamatan dan Adaptasi Persekitaran)</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04.01 DEMONSTRATE HEALTH COMPLIANCE (Menunjukkan Pematuhan Kesihatan) / 04.02 DEMONSTRATE SAFETY COMPLIANCE (Menunjukkan Pematuhan Keselamatan) / 04.03 DEMONSTRATE ENVIRONMENTAL COMPLIANCE (Menunjukkan Pematuhan Alam Sekitar)</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Z-009-2:2015-M04/P(1/5)</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OSH LEGISLATION (Perundangan Keselamatan dan Kesihatan Pekerjaan)</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Kertas Penerangan ini bertujuan menerangkan kebolehan menunjukkan tahap kefahaman dalam adaptasi Kesihatan, Keselamatan dan Alam Sekitar (HSE) serta mengaplikasikannya kepada aktiviti kerja. Individu yang kompeten dalam CA ini mesti dapat beradaptasi dengan HSE dengan melaksanakan tugasnya sambil mematuhi Peraturan dan Undang-undang Kesihatan, Keselamatan dan Alam Sekitar.</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1. Occupational Safety And Health Act 1994 (Akta Keselamatan dan Kesihatan Pekerjaan 1994)</w:t>
      </w:r>
    </w:p>
    <w:p>
      <w:pPr>
        <w:spacing w:line="276" w:lineRule="auto" w:after="120"/>
        <w:jc w:val="left"/>
      </w:pPr>
      <w:r>
        <w:rPr>
          <w:rFonts w:ascii="Arial" w:hAnsi="Arial" w:cs="Arial"/>
          <w:color w:val="000000"/>
          <w:sz w:val="22"/>
        </w:rPr>
        <w:t xml:space="preserve">Pekerja sendiri juga wajib menjaga keselamatan dan kesejahteraan diri mereka. Tidak wajar hanya menuntut orang lain mengutamakan keselamatan pekerja tanpa pekerja itu sendiri dituntut mengambil berat tentang keselamatan dirinya. Oleh itu, </w:t>
      </w:r>
      <w:r>
        <w:rPr>
          <w:rFonts w:ascii="Arial" w:hAnsi="Arial" w:cs="Arial"/>
          <w:b/>
          <w:color w:val="000000"/>
          <w:sz w:val="22"/>
        </w:rPr>
        <w:t>Seksyen 24</w:t>
      </w:r>
      <w:r>
        <w:rPr>
          <w:rFonts w:ascii="Arial" w:hAnsi="Arial" w:cs="Arial"/>
          <w:color w:val="000000"/>
          <w:sz w:val="22"/>
        </w:rPr>
        <w:t xml:space="preserve"> dimasukkan untuk menegaskan bahawa tanggungjawab ini terletak juga kepada semua orang termasuk pekerja. Seksyen ini menjelaskan bahawa adalah menjadi kewajipan setiap pekerja semasa bekerja:</w:t>
      </w:r>
    </w:p>
    <w:p>
      <w:pPr>
        <w:spacing w:line="276" w:lineRule="auto" w:after="120"/>
        <w:jc w:val="left"/>
      </w:pPr>
      <w:r>
        <w:rPr>
          <w:rFonts w:ascii="Arial" w:hAnsi="Arial" w:cs="Arial"/>
          <w:color w:val="000000"/>
          <w:sz w:val="22"/>
        </w:rPr>
        <w:t>1.1 mengambil langkah berjaga-jaga yang munasabah bagi keselamatan dan kesihatan dirinya dan orang lain yang mungkin terjejas oleh perbuatan atau peninggalannya semasa bekerja;</w:t>
      </w:r>
    </w:p>
    <w:p>
      <w:pPr>
        <w:spacing w:line="276" w:lineRule="auto" w:after="120"/>
        <w:jc w:val="left"/>
      </w:pPr>
      <w:r>
        <w:rPr>
          <w:rFonts w:ascii="Arial" w:hAnsi="Arial" w:cs="Arial"/>
          <w:color w:val="000000"/>
          <w:sz w:val="22"/>
        </w:rPr>
        <w:t>1.2 bekerjasama dengan majikannya atau mana-mana orang lain dalam melaksanakan kewajipan atau keperluan yang dikenakan ke atas majikan atau orang itu di bawah Akta atau mana-mana peraturan lain;</w:t>
      </w:r>
    </w:p>
    <w:p>
      <w:pPr>
        <w:spacing w:line="276" w:lineRule="auto" w:after="120"/>
        <w:jc w:val="left"/>
      </w:pPr>
      <w:r>
        <w:rPr>
          <w:rFonts w:ascii="Arial" w:hAnsi="Arial" w:cs="Arial"/>
          <w:color w:val="000000"/>
          <w:sz w:val="22"/>
        </w:rPr>
        <w:t>1.3 memakai atau menggunakan pada setiap masa mana-mana peralatan atau pakaian pelindung yang disediakan oleh majikan bagi tujuan mencegah risiko kepada keselamatan dan kesihatannya; dan</w:t>
      </w:r>
    </w:p>
    <w:p>
      <w:pPr>
        <w:spacing w:line="276" w:lineRule="auto" w:after="120"/>
        <w:jc w:val="left"/>
      </w:pPr>
      <w:r>
        <w:rPr>
          <w:rFonts w:ascii="Arial" w:hAnsi="Arial" w:cs="Arial"/>
          <w:color w:val="000000"/>
          <w:sz w:val="22"/>
        </w:rPr>
        <w:t>2. mematuhi sebarang arahan atau langkah mengenai keselamatan dan kesihatan pekerjaan yang ditetapkan oleh majikannya atau mana-mana orang lain di bawah Akta atau mana-mana peraturan lain.</w:t>
      </w:r>
    </w:p>
    <w:p>
      <w:pPr>
        <w:spacing w:line="276" w:lineRule="auto" w:after="120"/>
        <w:jc w:val="left"/>
      </w:pPr>
      <w:r>
        <w:rPr>
          <w:rFonts w:ascii="Arial" w:hAnsi="Arial" w:cs="Arial"/>
          <w:color w:val="000000"/>
          <w:sz w:val="22"/>
        </w:rPr>
        <w:t>Seksyen ini menekankan kepentingan pekerja berhati-hati secara munasabah terhadap keselamatan dirinya sendiri serta menjangka keselamatan orang lain yang mungkin terjejas oleh perbuatan atau peninggalannya semasa bekerja. Seksyen ini juga mewajibkan pekerja bekerjasama dan mematuhi arahan yang diberikan oleh majikan atau mana-mana pihak berkuasa untuk kebaikan diri mereka sendiri. Mana-mana orang yang melanggar peruntukan ini melakukan suatu kesalahan dan, apabila disabitkan, boleh dikenakan denda tidak melebihi RM1,000 atau penjara tidak melebihi tiga bulan atau kedua-duanya.</w:t>
      </w:r>
    </w:p>
    <w:p>
      <w:pPr>
        <w:spacing w:line="276" w:lineRule="auto" w:after="120"/>
        <w:jc w:val="left"/>
      </w:pPr>
      <w:r>
        <w:rPr>
          <w:rFonts w:ascii="Arial" w:hAnsi="Arial" w:cs="Arial"/>
          <w:b/>
          <w:color w:val="000000"/>
          <w:sz w:val="22"/>
        </w:rPr>
        <w:t>Penalti</w:t>
      </w:r>
      <w:r>
        <w:rPr>
          <w:rFonts w:ascii="Arial" w:hAnsi="Arial" w:cs="Arial"/>
          <w:color w:val="000000"/>
          <w:sz w:val="22"/>
        </w:rPr>
        <w:t xml:space="preserve"> kerana melanggar peruntukan ini ialah denda RM1,000 dan tempoh penjara tidak melebihi 3 bulan atau kedua-duanya.</w:t>
      </w:r>
    </w:p>
    <w:p>
      <w:pPr>
        <w:spacing w:line="276" w:lineRule="auto" w:after="120"/>
        <w:jc w:val="left"/>
      </w:pPr>
      <w:r>
        <w:rPr>
          <w:rFonts w:ascii="Arial" w:hAnsi="Arial" w:cs="Arial"/>
          <w:color w:val="000000"/>
          <w:sz w:val="22"/>
        </w:rPr>
        <w:t xml:space="preserve">Seseorang yang secara sengaja, cuai atau tidak berhati-hati mengganggu atau menyalahgunakan apa-apa yang disediakan atau dilakukan demi kepentingan keselamatan, kesihatan dan kebajikan menurut Akta ini melakukan suatu kesalahan dan boleh didenda </w:t>
      </w:r>
      <w:r>
        <w:rPr>
          <w:rFonts w:ascii="Arial" w:hAnsi="Arial" w:cs="Arial"/>
          <w:b/>
          <w:color w:val="000000"/>
          <w:sz w:val="22"/>
        </w:rPr>
        <w:t>RM20,000</w:t>
      </w:r>
      <w:r>
        <w:rPr>
          <w:rFonts w:ascii="Arial" w:hAnsi="Arial" w:cs="Arial"/>
          <w:color w:val="000000"/>
          <w:sz w:val="22"/>
        </w:rPr>
        <w:t xml:space="preserve"> dan penjara tidak melebihi </w:t>
      </w:r>
      <w:r>
        <w:rPr>
          <w:rFonts w:ascii="Arial" w:hAnsi="Arial" w:cs="Arial"/>
          <w:b/>
          <w:color w:val="000000"/>
          <w:sz w:val="22"/>
        </w:rPr>
        <w:t>2 tahun</w:t>
      </w:r>
      <w:r>
        <w:rPr>
          <w:rFonts w:ascii="Arial" w:hAnsi="Arial" w:cs="Arial"/>
          <w:color w:val="000000"/>
          <w:sz w:val="22"/>
        </w:rPr>
        <w:t xml:space="preserve"> atau kedua-duanya.</w:t>
      </w:r>
    </w:p>
    <w:p>
      <w:pPr>
        <w:spacing w:line="276" w:lineRule="auto" w:after="120"/>
        <w:jc w:val="left"/>
      </w:pPr>
      <w:r>
        <w:rPr>
          <w:rFonts w:ascii="Arial" w:hAnsi="Arial" w:cs="Arial"/>
          <w:color w:val="000000"/>
          <w:sz w:val="22"/>
        </w:rPr>
        <w:t>Majikan tidak boleh mengenakan sebarang tindakan balas ke atas pekerja kerana tindakan yang dilakukan menurut Akta ini atau peraturannya. Seorang pekerja tidak boleh dihukum kerana membuat aduan mengenai perkara yang dianggapnya tidak selamat, menjadi ahli jawatankuasa keselamatan dan kesihatan, atau menjalankan fungsinya sebagai ahli jawatankuasa itu.</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Seorang video editor yang mendapati kabel kuasa terdedah (exposed) berhampiran meja editing wajib melaporkannya kepada Penyelia Studio (Studio Supervisor) — bukan sekadar mengelaknya sendiri — kerana Seksyen 24(1)(a) mewajibkan pengambil-kiraan keselamatan rakan sekerja yang turut menggunakan ruang edit suite yang sama.</w:t>
      </w:r>
    </w:p>
    <w:p>
      <w:pPr>
        <w:pStyle w:val="Heading2"/>
        <w:spacing w:line="276" w:lineRule="auto" w:after="120"/>
        <w:jc w:val="left"/>
      </w:pPr>
      <w:r>
        <w:rPr>
          <w:rFonts w:ascii="Arial" w:hAnsi="Arial" w:cs="Arial"/>
          <w:color w:val="000000"/>
          <w:sz w:val="22"/>
        </w:rPr>
        <w:t>2. Safety And Health Committee (Jawatankuasa Keselamatan Dan Kesihatan)</w:t>
      </w:r>
    </w:p>
    <w:p>
      <w:pPr>
        <w:spacing w:line="276" w:lineRule="auto" w:after="120"/>
        <w:jc w:val="left"/>
      </w:pPr>
      <w:r>
        <w:rPr>
          <w:rFonts w:ascii="Arial" w:hAnsi="Arial" w:cs="Arial"/>
          <w:color w:val="000000"/>
          <w:sz w:val="22"/>
        </w:rPr>
        <w:t xml:space="preserve">Salah satu aspek asas pengurusan keselamatan yang baik ialah penglibatan aktif majikan dan pekerja bersama. Undang-undang mengiktiraf fakta ini dan memasukkan </w:t>
      </w:r>
      <w:r>
        <w:rPr>
          <w:rFonts w:ascii="Arial" w:hAnsi="Arial" w:cs="Arial"/>
          <w:b/>
          <w:color w:val="000000"/>
          <w:sz w:val="22"/>
        </w:rPr>
        <w:t>Seksyen 30</w:t>
      </w:r>
      <w:r>
        <w:rPr>
          <w:rFonts w:ascii="Arial" w:hAnsi="Arial" w:cs="Arial"/>
          <w:color w:val="000000"/>
          <w:sz w:val="22"/>
        </w:rPr>
        <w:t xml:space="preserve"> dalam OSHA. Seksyen ini mewajibkan setiap majikan yang mempunyai </w:t>
      </w:r>
      <w:r>
        <w:rPr>
          <w:rFonts w:ascii="Arial" w:hAnsi="Arial" w:cs="Arial"/>
          <w:b/>
          <w:color w:val="000000"/>
          <w:sz w:val="22"/>
        </w:rPr>
        <w:t>lebih 40 pekerja</w:t>
      </w:r>
      <w:r>
        <w:rPr>
          <w:rFonts w:ascii="Arial" w:hAnsi="Arial" w:cs="Arial"/>
          <w:color w:val="000000"/>
          <w:sz w:val="22"/>
        </w:rPr>
        <w:t>, atau seperti yang diarahkan oleh Ketua Pengarah Keselamatan dan Kesihatan, untuk menubuhkan jawatankuasa keselamatan dan kesihatan di tempat kerja. Komposisi jawatankuasa terdiri daripada pengerusi, setiausaha, dan wakil daripada kedua-dua majikan dan pekerja. Majikan sendiri atau pengurus yang diberi kuasa akan menjadi pengerusi, dan setiausaha ialah orang yang diambil bekerja sebagai pegawai keselamatan dan kesihatan (SHO) di tempat kerja tersebut. Jika tiada SHO di tempat kerja (kerana ia tidak tergolong dalam kategori industri yang perlu mengambil seorang), pengerusi mesti melantik salah seorang daripada mereka sebagai setiausaha melalui undi.</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Sebuah syarikat post-production dengan lebih 40 kakitangan (editor, colorist, sound engineer, runner) wajib menubuhkan jawatankuasa keselamatan dan kesihatan; Producer atau Head of Post boleh bertindak sebagai pengerusi.</w:t>
      </w:r>
    </w:p>
    <w:p>
      <w:pPr>
        <w:pStyle w:val="Heading2"/>
        <w:spacing w:line="276" w:lineRule="auto" w:after="120"/>
        <w:jc w:val="left"/>
      </w:pPr>
      <w:r>
        <w:rPr>
          <w:rFonts w:ascii="Arial" w:hAnsi="Arial" w:cs="Arial"/>
          <w:color w:val="000000"/>
          <w:sz w:val="22"/>
        </w:rPr>
        <w:t>3. Worker Participation (Penyertaan Pekerja)</w:t>
      </w:r>
    </w:p>
    <w:p>
      <w:pPr>
        <w:spacing w:line="276" w:lineRule="auto" w:after="120"/>
        <w:jc w:val="left"/>
      </w:pPr>
      <w:r>
        <w:rPr>
          <w:rFonts w:ascii="Arial" w:hAnsi="Arial" w:cs="Arial"/>
          <w:color w:val="000000"/>
          <w:sz w:val="22"/>
        </w:rPr>
        <w:t>Penyertaan pekerja adalah elemen penting sistem pengurusan OSH dalam organisasi.</w:t>
      </w:r>
    </w:p>
    <w:p>
      <w:pPr>
        <w:spacing w:line="276" w:lineRule="auto" w:after="120"/>
        <w:jc w:val="left"/>
      </w:pPr>
      <w:r>
        <w:rPr>
          <w:rFonts w:ascii="Arial" w:hAnsi="Arial" w:cs="Arial"/>
          <w:color w:val="000000"/>
          <w:sz w:val="22"/>
        </w:rPr>
        <w:t>i. Majikan hendaklah memastikan pekerja dan wakil keselamatan dan kesihatan mereka dirundingi, dimaklumkan dan dilatih mengenai semua aspek OSH, termasuk susunan kecemasan, berkaitan kerja mereka.</w:t>
      </w:r>
    </w:p>
    <w:p>
      <w:pPr>
        <w:spacing w:line="276" w:lineRule="auto" w:after="120"/>
        <w:jc w:val="left"/>
      </w:pPr>
      <w:r>
        <w:rPr>
          <w:rFonts w:ascii="Arial" w:hAnsi="Arial" w:cs="Arial"/>
          <w:color w:val="000000"/>
          <w:sz w:val="22"/>
        </w:rPr>
        <w:t>ii. Majikan hendaklah membuat susunan agar pekerja dan wakil keselamatan dan kesihatan mereka mempunyai masa dan sumber untuk mengambil bahagian secara aktif dalam proses penganjuran, perancangan dan pelaksanaan, penilaian dan tindakan penambahbaikan sistem pengurusan OSH.</w:t>
      </w:r>
    </w:p>
    <w:p>
      <w:pPr>
        <w:spacing w:line="276" w:lineRule="auto" w:after="120"/>
        <w:jc w:val="left"/>
      </w:pPr>
      <w:r>
        <w:rPr>
          <w:rFonts w:ascii="Arial" w:hAnsi="Arial" w:cs="Arial"/>
          <w:color w:val="000000"/>
          <w:sz w:val="22"/>
        </w:rPr>
        <w:t>iii. Majikan hendaklah memastikan, sebagaimana yang sesuai, penubuhan dan fungsi cekap jawatankuasa keselamatan dan kesihatan serta pengiktirafan wakil keselamatan dan kesihatan pekerja mengikut undang-undang dan amalan kebangsaan.</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Editor dan runner turut diajak menyumbang input semasa taklimat keselamatan sebelum shooting on-location — bukan sekadar diberitahu selepas keputusan dibuat.</w:t>
      </w:r>
    </w:p>
    <w:p>
      <w:pPr>
        <w:pStyle w:val="Heading2"/>
        <w:spacing w:line="276" w:lineRule="auto" w:after="120"/>
        <w:jc w:val="left"/>
      </w:pPr>
      <w:r>
        <w:rPr>
          <w:rFonts w:ascii="Arial" w:hAnsi="Arial" w:cs="Arial"/>
          <w:color w:val="000000"/>
          <w:sz w:val="22"/>
        </w:rPr>
        <w:t>4 Factories And Machinery Act (Akta Kilang Dan Jentera)</w:t>
      </w:r>
    </w:p>
    <w:p>
      <w:pPr>
        <w:spacing w:line="276" w:lineRule="auto" w:after="120"/>
        <w:jc w:val="left"/>
      </w:pPr>
      <w:r>
        <w:rPr>
          <w:rFonts w:ascii="Arial" w:hAnsi="Arial" w:cs="Arial"/>
          <w:b/>
          <w:color w:val="000000"/>
          <w:sz w:val="22"/>
        </w:rPr>
        <w:t>4.1 Factories and Machinery Act 1967 (Akta Kilang Dan Jentera 1967)</w:t>
      </w:r>
      <w:r>
        <w:rPr>
          <w:rFonts w:ascii="Arial" w:hAnsi="Arial" w:cs="Arial"/>
          <w:color w:val="000000"/>
          <w:sz w:val="22"/>
        </w:rPr>
        <w:t xml:space="preserve"> — peruntukan berikut disalin tepat daripada Peraturan-Peraturan di bawah FMA 1967. Setiap peruntukan andaikan persekitaran kilang/lantai kerja fizikal; nota penerapan studio diberikan selepas setiap kumpulan peruntukan.</w:t>
      </w:r>
    </w:p>
    <w:p>
      <w:pPr>
        <w:spacing w:line="276" w:lineRule="auto" w:after="120"/>
        <w:jc w:val="left"/>
      </w:pPr>
      <w:r>
        <w:rPr>
          <w:rFonts w:ascii="Arial" w:hAnsi="Arial" w:cs="Arial"/>
          <w:b/>
          <w:color w:val="000000"/>
          <w:sz w:val="22"/>
        </w:rPr>
        <w:t>Lantai (Floors).</w:t>
      </w:r>
      <w:r>
        <w:rPr>
          <w:rFonts w:ascii="Arial" w:hAnsi="Arial" w:cs="Arial"/>
          <w:color w:val="000000"/>
          <w:sz w:val="22"/>
        </w:rPr>
        <w:t xml:space="preserve"> (1) Setiap bahagian lantai yang mungkin dilalui orang hendaklah: (a) dikekalkan dalam keadaan rata, baik dan tidak licin bagi membolehkan berjalan, mengangkut atau mengendalikan bahan dengan selamat; dan (b) bebas daripada lubang, serpihan, penutup longkang atau salur yang tidak dipasang dengan betul, dan bebas daripada paku, injap atau paip yang menonjol atau lain-lain unjuran atau halangan yang boleh menyebabkan tersandung. (2) Lantai atau aras kerja sekeliling semua jentera hendaklah dikekalkan dalam keadaan baik dan rata, dan setakat yang praktik bebas daripada bahan longgar dan dalam keadaan tidak licin. (3) Di mana mana-mana proses yang dijalankan menyebabkan lantai atau aras kerja basah, ia hendaklah dicerun dengan sesuai dan disediakan serta dikekalkan sistem saliran yang mencukupi. (4) Kemudahan yang sesuai dan berkesan hendaklah disediakan dan dikekalkan untuk mengalirkan air ribut atau banjir daripada mana-mana lantai atau aras kerja. (5) Setiap bahagian lantai, aras kerja, anak tangga dan pendaratan tidak boleh diperbuat daripada bahan tertentu (rujuk peraturan asal untuk butiran penuh).</w:t>
      </w:r>
    </w:p>
    <w:p>
      <w:pPr>
        <w:spacing w:line="276" w:lineRule="auto" w:after="120"/>
        <w:jc w:val="left"/>
      </w:pPr>
      <w:r>
        <w:rPr>
          <w:rFonts w:ascii="Arial" w:hAnsi="Arial" w:cs="Arial"/>
          <w:b/>
          <w:color w:val="000000"/>
          <w:sz w:val="22"/>
        </w:rPr>
        <w:t>Akses Ke Tempat Kerja (Access to place of work).</w:t>
      </w:r>
      <w:r>
        <w:rPr>
          <w:rFonts w:ascii="Arial" w:hAnsi="Arial" w:cs="Arial"/>
          <w:color w:val="000000"/>
          <w:sz w:val="22"/>
        </w:rPr>
        <w:t xml:space="preserve"> (1) Ruang yang jelas dan tidak berhalangan hendaklah disediakan dan dikekalkan pada semua jentera untuk membolehkan kerja dijalankan tanpa risiko yang tidak perlu, dan membenarkan akses bebas dan mudah ke mana-mana bahagian yang memerlukan operasi, pemeriksaan, penyelenggaraan atau pembuangan secara berkala. (2) Di mana bahan, barangan atau artikel lain perlu ditimbun antara mana-mana mesin atau bangku kerja, laluan atau gang yang jelas ke mesin atau bangku kerja tersebut hendaklah disediakan dan dikekalkan, dan laluan atau gang tersebut hendaklah ditanda dengan jelas di atas lantai dan tiada bahan, barangan atau artikel lain boleh ditimbun di atas laluan atau gang tersebut.</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Kabel power dan data (SDI/HDMI) mesti disusun dalam cable tray atau ditanda dengan lakban jelas di lantai edit suite / studio rakaman, bukan bergelung di laluan berjalan — mengaplikasikan prinsip "laluan jelas, tidak berhalangan" walaupun studio bukan kilang.</w:t>
      </w:r>
    </w:p>
    <w:p>
      <w:pPr>
        <w:spacing w:line="276" w:lineRule="auto" w:after="120"/>
        <w:jc w:val="left"/>
      </w:pPr>
      <w:r>
        <w:rPr>
          <w:rFonts w:ascii="Arial" w:hAnsi="Arial" w:cs="Arial"/>
          <w:b/>
          <w:color w:val="000000"/>
          <w:sz w:val="22"/>
        </w:rPr>
        <w:t>Bukaan (Openings).</w:t>
      </w:r>
      <w:r>
        <w:rPr>
          <w:rFonts w:ascii="Arial" w:hAnsi="Arial" w:cs="Arial"/>
          <w:color w:val="000000"/>
          <w:sz w:val="22"/>
        </w:rPr>
        <w:t xml:space="preserve"> Setiap bukaan lubang jatuh (hatchway), corong, lubang dan pintu perangkap hendaklah dipagar dengan selamat menggunakan pagar tanggal berpapan penunjuk kaki pada tidak lebih dua sisi dan pagar pengawal tetap berpapan penunjuk kaki pada semua sisi terdedah yang lain; atau dikawal dengan selamat oleh penutup lubang lantai berengsel rata yang kukuh, dilengkapi dengan pagar yang dipasang padanya supaya hanya satu sisi terdedah apabila penutup dibuka. Bukaan tangga, bukaan lantai, penutup lubang lantai, bukaan teagle — setiap satu mempunyai keperluan pagar/penutup yang serupa (rujuk teks asal).</w:t>
      </w:r>
    </w:p>
    <w:p>
      <w:pPr>
        <w:spacing w:line="276" w:lineRule="auto" w:after="120"/>
        <w:jc w:val="left"/>
      </w:pPr>
      <w:r>
        <w:rPr>
          <w:rFonts w:ascii="Arial" w:hAnsi="Arial" w:cs="Arial"/>
          <w:b/>
          <w:color w:val="000000"/>
          <w:sz w:val="22"/>
        </w:rPr>
        <w:t>Tangga (Stairway).</w:t>
      </w:r>
      <w:r>
        <w:rPr>
          <w:rFonts w:ascii="Arial" w:hAnsi="Arial" w:cs="Arial"/>
          <w:color w:val="000000"/>
          <w:sz w:val="22"/>
        </w:rPr>
        <w:t xml:space="preserve"> Di mana seseorang diambil bekerja secara tetap di atas mana-mana lantai di atas aras tanah, satu tangga hendaklah disediakan untuk memberikan akses ke situ. Tangga tersebut hendaklah tidak kurang tiga puluh enam inci lebar (kecuali tangga sekunder tidak kurang tiga puluh inci); cerun tidak kurang dua puluh darjah mahupun lebih empat puluh lima darjah daripada mendatar; ruang kepala tidak kurang enam kaki sembilan inci; ketinggian tidak lebih dua belas kaki antara pendaratan; pendaratan jika pintu disediakan di puncak tangga; dan pagar pemegang mengikut lebar tangga.</w:t>
      </w:r>
    </w:p>
    <w:p>
      <w:pPr>
        <w:spacing w:line="276" w:lineRule="auto" w:after="120"/>
        <w:jc w:val="left"/>
      </w:pPr>
      <w:r>
        <w:rPr>
          <w:rFonts w:ascii="Arial" w:hAnsi="Arial" w:cs="Arial"/>
          <w:b/>
          <w:color w:val="000000"/>
          <w:sz w:val="22"/>
        </w:rPr>
        <w:t>Tangga Tetap (Fixed ladder).</w:t>
      </w:r>
      <w:r>
        <w:rPr>
          <w:rFonts w:ascii="Arial" w:hAnsi="Arial" w:cs="Arial"/>
          <w:color w:val="000000"/>
          <w:sz w:val="22"/>
        </w:rPr>
        <w:t xml:space="preserve"> Di mana akses ke mana-mana aras kerja, platform atau dek disediakan melalui tangga tetap, tangga tersebut hendaklah — jika condong, mempunyai pagar pemegang pada setiap sisi; atau jika menegak, mempunyai pemegang tangan yang sesuai di pendaratan atas, jarak dari hadapan anak tangga ke struktur tetap terdekat tidak kurang tiga puluh inci, dan dilengkapi gelung keselamatan sepertimana diperlukan oleh Pemeriksa.</w:t>
      </w:r>
    </w:p>
    <w:p>
      <w:pPr>
        <w:spacing w:line="276" w:lineRule="auto" w:after="120"/>
        <w:jc w:val="left"/>
      </w:pPr>
      <w:r>
        <w:rPr>
          <w:rFonts w:ascii="Arial" w:hAnsi="Arial" w:cs="Arial"/>
          <w:b/>
          <w:color w:val="000000"/>
          <w:sz w:val="22"/>
        </w:rPr>
        <w:t>Catwalk, laluan lalu atau gang (Catwalk, runway or gangway).</w:t>
      </w:r>
      <w:r>
        <w:rPr>
          <w:rFonts w:ascii="Arial" w:hAnsi="Arial" w:cs="Arial"/>
          <w:color w:val="000000"/>
          <w:sz w:val="22"/>
        </w:rPr>
        <w:t xml:space="preserve"> Di mana catwalk, laluan lalu atau gang disediakan khusus untuk memberi akses kepada jentera atau dari satu tempat ke tempat lain, ia hendaklah dilengkapi pagar pengawal pada kedua-dua sisi, dan papan penunjuk kaki sekurang-kurangnya empat inci tinggi; dan tidak boleh digunakan sebagai platform kerja.</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Grid lampu (lighting grid) dan catwalk di atas studio rakaman (untuk akses ke lampu/rig) mesti mempunyai pagar pengawal dan papan penunjuk kaki — sama seperti keperluan FMA untuk catwalk kilang — dan tidak boleh digunakan untuk menyimpan peralatan (bukan platform kerja).</w:t>
      </w:r>
    </w:p>
    <w:p>
      <w:pPr>
        <w:spacing w:line="276" w:lineRule="auto" w:after="120"/>
        <w:jc w:val="left"/>
      </w:pPr>
      <w:r>
        <w:rPr>
          <w:rFonts w:ascii="Arial" w:hAnsi="Arial" w:cs="Arial"/>
          <w:b/>
          <w:color w:val="000000"/>
          <w:sz w:val="22"/>
        </w:rPr>
        <w:t>Bekerja Di Ketinggian (Working at a height).</w:t>
      </w:r>
      <w:r>
        <w:rPr>
          <w:rFonts w:ascii="Arial" w:hAnsi="Arial" w:cs="Arial"/>
          <w:color w:val="000000"/>
          <w:sz w:val="22"/>
        </w:rPr>
        <w:t xml:space="preserve"> Di mana seseorang dikehendaki bekerja di suatu tempat yang boleh menyebabkannya jatuh sejauh lebih sepuluh kaki, langkah hendaklah disediakan untuk memastikan keselamatannya dan langkah tersebut, setakat yang praktik, hendaklah termasuk penggunaan tali pinggang atau tali keselamatan.</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Kru yang memasang lampu rig di grid studio (ketinggian melebihi 10 kaki) atau juruteknik yang menaiki tangga tinggi untuk kabel data server room wajib menggunakan tali keselamatan/harness — sama seperti pemasang lampu kilang.</w:t>
      </w:r>
    </w:p>
    <w:p>
      <w:pPr>
        <w:spacing w:line="276" w:lineRule="auto" w:after="120"/>
        <w:jc w:val="left"/>
      </w:pPr>
      <w:r>
        <w:rPr>
          <w:rFonts w:ascii="Arial" w:hAnsi="Arial" w:cs="Arial"/>
          <w:b/>
          <w:color w:val="000000"/>
          <w:sz w:val="22"/>
        </w:rPr>
        <w:t>Ruang Terkurung (Confined spaces).</w:t>
      </w:r>
      <w:r>
        <w:rPr>
          <w:rFonts w:ascii="Arial" w:hAnsi="Arial" w:cs="Arial"/>
          <w:color w:val="000000"/>
          <w:sz w:val="22"/>
        </w:rPr>
        <w:t xml:space="preserve"> Di mana kerja perlu dilakukan di dalam mana-mana kebuk, tangki, tab, lubang, atau ruang terkurung lain di mana wasap berbahaya berkemungkinan hadir sehingga menimbulkan risiko kepada mana-mana orang, ruang terkurung tersebut hendaklah dilengkapi lubang masuk (manhole); tiada seorang pun boleh diminta atau dibenarkan memasuki ruang terkurung melainkan semua langkah praktik telah diambil untuk membuang sebarang wasap dan mencegah kemasukan wasap; telah dipastikan melalui ujian yang sesuai bahawa ruang itu bebas daripada wasap berbahaya; dan seorang yang boleh dipercayai dan cekap ditempatkan di pintu masuk untuk mengawasi operasi.</w:t>
      </w:r>
    </w:p>
    <w:p>
      <w:pPr>
        <w:spacing w:line="276" w:lineRule="auto" w:after="120"/>
        <w:jc w:val="left"/>
      </w:pPr>
      <w:r>
        <w:rPr>
          <w:rFonts w:ascii="Arial" w:hAnsi="Arial" w:cs="Arial"/>
          <w:i/>
          <w:color w:val="000000"/>
          <w:sz w:val="22"/>
        </w:rPr>
        <w:t>(Peruntukan lain — bekas cecair mudah menyala, langkah berjaga terhadap pencucuhan, penimbunan bahan, keperluan pemadam api, kebersihan, ruang setiap orang, pengudaraan, pencahayaan, kemudahan tempat duduk, pakaian kerja/PPE — kekal seperti dalam teks rasmi; rujuk FMA 1967 penuh untuk nombor peraturan tepat.)</w:t>
      </w:r>
    </w:p>
    <w:p>
      <w:pPr>
        <w:spacing w:line="276" w:lineRule="auto" w:after="120"/>
        <w:jc w:val="left"/>
      </w:pPr>
      <w:r>
        <w:rPr>
          <w:rFonts w:ascii="Arial" w:hAnsi="Arial" w:cs="Arial"/>
          <w:b/>
          <w:color w:val="000000"/>
          <w:sz w:val="22"/>
        </w:rPr>
        <w:t>Kebersihan (Cleanliness).</w:t>
      </w:r>
      <w:r>
        <w:rPr>
          <w:rFonts w:ascii="Arial" w:hAnsi="Arial" w:cs="Arial"/>
          <w:color w:val="000000"/>
          <w:sz w:val="22"/>
        </w:rPr>
        <w:t xml:space="preserve"> Setiap kilang hendaklah menyediakan bekas yang mencukupi untuk kutipan sisa dan sampah, dibuang setiap hari; lantai dibersihkan sekurang-kurangnya sekali seminggu; dinding dan siling dicuci/dicat semula mengikut tempoh yang ditetapkan; tiada seorang pun dibenarkan menggunakan bilik kerja sebagai tempat tinggal atau tidur.</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Bilik server dan gallery mesti bebas habuk dan tidak digunakan sebagai bilik rehat/tidur kru — walaupun shift penyuntingan panjang menjelang deadline siaran.</w:t>
      </w:r>
    </w:p>
    <w:p>
      <w:pPr>
        <w:spacing w:line="276" w:lineRule="auto" w:after="120"/>
        <w:jc w:val="left"/>
      </w:pPr>
      <w:r>
        <w:rPr>
          <w:rFonts w:ascii="Arial" w:hAnsi="Arial" w:cs="Arial"/>
          <w:b/>
          <w:color w:val="000000"/>
          <w:sz w:val="22"/>
        </w:rPr>
        <w:t>Pengudaraan (Ventilation).</w:t>
      </w:r>
      <w:r>
        <w:rPr>
          <w:rFonts w:ascii="Arial" w:hAnsi="Arial" w:cs="Arial"/>
          <w:color w:val="000000"/>
          <w:sz w:val="22"/>
        </w:rPr>
        <w:t xml:space="preserve"> Di mana cara pengudaraan semula jadi tidak mencukupi, cara pengudaraan semula jadi atau mekanikal tambahan hendaklah disediakan. Pengudaraan dianggap mencukupi apabila bilangan pertukaran udara setiap jam tidak kurang sepuluh bagi proses yang menghasilkan sedikit atau tiada haba, asap atau wasap; dan tidak kurang dua puluh bagi proses yang menghasilkan haba, asap atau wasap.</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Bilik server/rack peralatan editing menjana haba tinggi — sistem penyaman udara (HVAC) mesti mencukupi untuk mengelakkan overheating peralatan dan menjaga kesihatan kru yang bekerja berhampiran.</w:t>
      </w:r>
    </w:p>
    <w:p>
      <w:pPr>
        <w:spacing w:line="276" w:lineRule="auto" w:after="120"/>
        <w:jc w:val="left"/>
      </w:pPr>
      <w:r>
        <w:rPr>
          <w:rFonts w:ascii="Arial" w:hAnsi="Arial" w:cs="Arial"/>
          <w:b/>
          <w:color w:val="000000"/>
          <w:sz w:val="22"/>
        </w:rPr>
        <w:t>Pencahayaan (Lighting).</w:t>
      </w:r>
      <w:r>
        <w:rPr>
          <w:rFonts w:ascii="Arial" w:hAnsi="Arial" w:cs="Arial"/>
          <w:color w:val="000000"/>
          <w:sz w:val="22"/>
        </w:rPr>
        <w:t xml:space="preserve"> Tiada seorang pun boleh dikehendaki atau dibenarkan bekerja di dalam mana-mana bangunan kilang di mana cahaya semula jadi kurang daripada sepuluh peratus keluasan lantai. Keamatan pencahayaan tidak boleh kurang dua kaki-lilin diukur pada satah mendatar pada ketinggian tiga kaki daripada lantai, dan tidak kurang lima kaki-lilin di mana kerja sebenarnya dijalankan.</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Edit suite biasanya digelapkan sengaja untuk kalibrasi warna monitor — ini BUKAN pelanggaran keperluan FMA kerana peraturan ini mensasarkan kilang fizikal; namun laluan keluar dan tangga tetap perlu pencahayaan kecemasan mencukupi (rujuk "Emergency lighting system").</w:t>
      </w:r>
    </w:p>
    <w:p>
      <w:pPr>
        <w:spacing w:line="276" w:lineRule="auto" w:after="120"/>
        <w:jc w:val="left"/>
      </w:pPr>
      <w:r>
        <w:rPr>
          <w:rFonts w:ascii="Arial" w:hAnsi="Arial" w:cs="Arial"/>
          <w:b/>
          <w:color w:val="000000"/>
          <w:sz w:val="22"/>
        </w:rPr>
        <w:t>Pakaian Kerja, Pakaian Dan Peralatan Perlindungan Diri.</w:t>
      </w:r>
      <w:r>
        <w:rPr>
          <w:rFonts w:ascii="Arial" w:hAnsi="Arial" w:cs="Arial"/>
          <w:color w:val="000000"/>
          <w:sz w:val="22"/>
        </w:rPr>
        <w:t xml:space="preserve"> Menurut Seksyen 24 Akta berkaitan pakaian kerja dan pakaian serta peralatan perlindungan diri: pakaian kerja hendaklah kemas tanpa flap longgar, tali leher longgar, atau pakaian koyak; rambut dilindungi daripada terperangkap dalam bahagian bergerak jentera; kasut/but sesuai disediakan bagi operasi yang tidak sesuai dengan kasut biasa; helmet keselamatan bagi pekerja terdedah kepada objek jatuh/terbang; penyumbat telinga bagi pekerja terdedah kepada bunyi bising berpanjangan; pakaian pelindung bagi bahan korosif/berbahaya; sarung tangan bagi kerja mengendalikan objek tajam/panas; peralatan pernafasan bagi pekerja terdedah kepada wasap/gas berbahaya.</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Kru rig lampu memakai sarung tangan (mengendalikan lampu panas/kabel) dan kasut tertutup semasa memasang rig di lokasi luar; juruteknik yang membersihkan habuk dari server rack menggunakan penyumbat telinga jika bunyi kipas server melebihi paras selesa dalam tempoh panjang.</w:t>
      </w:r>
    </w:p>
    <w:p/>
    <w:p>
      <w:pPr>
        <w:spacing w:before="120" w:after="120" w:line="276" w:lineRule="auto"/>
        <w:jc w:val="left"/>
      </w:pPr>
      <w:r>
        <w:rPr>
          <w:rFonts w:ascii="Arial" w:hAnsi="Arial" w:cs="Arial"/>
          <w:b/>
          <w:color w:val="000000"/>
          <w:sz w:val="22"/>
        </w:rPr>
        <w:t>SOALAN:</w:t>
      </w:r>
    </w:p>
    <w:p>
      <w:pPr>
        <w:spacing w:line="276" w:lineRule="auto" w:after="120"/>
        <w:jc w:val="left"/>
      </w:pPr>
      <w:r>
        <w:rPr>
          <w:rFonts w:ascii="Arial" w:hAnsi="Arial" w:cs="Arial"/>
          <w:color w:val="000000"/>
          <w:sz w:val="22"/>
        </w:rPr>
        <w:t xml:space="preserve">1. Apakah jenis hukuman yang boleh dikenakan ke atas seorang pekerja studio penyuntingan video yang gagal mematuhi kewajipan pekerja di bawah Akta OSHA 1994? </w:t>
      </w:r>
      <w:r>
        <w:rPr>
          <w:rFonts w:ascii="Arial" w:hAnsi="Arial" w:cs="Arial"/>
          <w:i/>
          <w:color w:val="000000"/>
          <w:sz w:val="22"/>
        </w:rPr>
        <w:t>Jawapan model:</w:t>
      </w:r>
      <w:r>
        <w:rPr>
          <w:rFonts w:ascii="Arial" w:hAnsi="Arial" w:cs="Arial"/>
          <w:color w:val="000000"/>
          <w:sz w:val="22"/>
        </w:rPr>
        <w:t xml:space="preserve"> Denda tidak melebihi RM1,000 atau penjara tidak melebihi tiga bulan atau kedua-duanya (Seksyen 24); jika perbuatan itu sengaja/cuai mengganggu peralatan keselamatan, denda boleh sehingga RM20,000 dan penjara sehingga 2 tahun.</w:t>
      </w:r>
    </w:p>
    <w:p>
      <w:pPr>
        <w:spacing w:line="276" w:lineRule="auto" w:after="120"/>
        <w:jc w:val="left"/>
      </w:pPr>
      <w:r>
        <w:rPr>
          <w:rFonts w:ascii="Arial" w:hAnsi="Arial" w:cs="Arial"/>
          <w:color w:val="000000"/>
          <w:sz w:val="22"/>
        </w:rPr>
        <w:t xml:space="preserve">2. Berapa ramai pekerjakah yang mewajibkan sebuah syarikat post-production menubuhkan jawatankuasa keselamatan dan kesihatan? </w:t>
      </w:r>
      <w:r>
        <w:rPr>
          <w:rFonts w:ascii="Arial" w:hAnsi="Arial" w:cs="Arial"/>
          <w:i/>
          <w:color w:val="000000"/>
          <w:sz w:val="22"/>
        </w:rPr>
        <w:t>Jawapan model:</w:t>
      </w:r>
      <w:r>
        <w:rPr>
          <w:rFonts w:ascii="Arial" w:hAnsi="Arial" w:cs="Arial"/>
          <w:color w:val="000000"/>
          <w:sz w:val="22"/>
        </w:rPr>
        <w:t xml:space="preserve"> Lebih 40 pekerja (Seksyen 30 OSHA 1994), atau seperti diarahkan oleh Ketua Pengarah Keselamatan dan Kesihatan tanpa mengira bilangan.</w:t>
      </w:r>
    </w:p>
    <w:p>
      <w:pPr>
        <w:spacing w:line="276" w:lineRule="auto" w:after="120"/>
        <w:jc w:val="left"/>
      </w:pPr>
      <w:r>
        <w:rPr>
          <w:rFonts w:ascii="Arial" w:hAnsi="Arial" w:cs="Arial"/>
          <w:color w:val="000000"/>
          <w:sz w:val="22"/>
        </w:rPr>
        <w:t xml:space="preserve">3. Seorang juruteknik studio dikehendaki memasang lampu rig pada ketinggian melebihi sepuluh kaki di grid studio rakaman. Apakah langkah keselamatan yang perlu disediakan? </w:t>
      </w:r>
      <w:r>
        <w:rPr>
          <w:rFonts w:ascii="Arial" w:hAnsi="Arial" w:cs="Arial"/>
          <w:i/>
          <w:color w:val="000000"/>
          <w:sz w:val="22"/>
        </w:rPr>
        <w:t>Jawapan model:</w:t>
      </w:r>
      <w:r>
        <w:rPr>
          <w:rFonts w:ascii="Arial" w:hAnsi="Arial" w:cs="Arial"/>
          <w:color w:val="000000"/>
          <w:sz w:val="22"/>
        </w:rPr>
        <w:t xml:space="preserve"> Langkah untuk memastikan keselamatannya, termasuk penggunaan tali pinggang keselamatan atau tali (safety harness/lanyard), setakat yang praktik — mengikut peruntukan "Working at a height" FMA 1967.</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Occupational Safety and Health Act 1994, (2010) Malaysia, Penerbitan Akta (M), ISBN-978-967-576-9221.</w:t>
      </w:r>
    </w:p>
    <w:p>
      <w:pPr>
        <w:spacing w:line="276" w:lineRule="auto" w:after="120"/>
        <w:jc w:val="left"/>
      </w:pPr>
      <w:r>
        <w:rPr>
          <w:rFonts w:ascii="Arial" w:hAnsi="Arial" w:cs="Arial"/>
          <w:color w:val="000000"/>
          <w:sz w:val="22"/>
        </w:rPr>
        <w:t>Chessebro T.; O'Connor L.; Rios F., (2009), Communicating in the Workplace. Prentice Hall. ISBN-13 978-0136136910.</w:t>
      </w:r>
    </w:p>
    <w:p>
      <w:pPr>
        <w:spacing w:line="276" w:lineRule="auto" w:after="120"/>
        <w:jc w:val="left"/>
      </w:pPr>
      <w:r>
        <w:rPr>
          <w:rFonts w:ascii="Arial" w:hAnsi="Arial" w:cs="Arial"/>
          <w:color w:val="000000"/>
          <w:sz w:val="22"/>
        </w:rPr>
        <w:t>Vergo P., (1974). Health and Safety at Work etc Act 1974, (Public General Acts – Elizabeth II), TSO. ISBN-13 978-0105437741</w:t>
      </w:r>
    </w:p>
    <w:p>
      <w:pPr>
        <w:spacing w:line="276" w:lineRule="auto" w:after="120"/>
        <w:jc w:val="left"/>
      </w:pPr>
      <w:r>
        <w:rPr>
          <w:rFonts w:ascii="Arial" w:hAnsi="Arial" w:cs="Arial"/>
          <w:color w:val="000000"/>
          <w:sz w:val="22"/>
        </w:rPr>
        <w:t>Health and Safety Executive, (1998), Workplace Health, Safety and Welfare: Workplace (Health, Safety and Welfare) Regulations 1992 - Approved Code of Practice and Guidance (Health and Safety Commission). HSE Books. ISBN-13 978-0717604135.</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