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3</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CA02 INFORMATION TECHNOLOGY AWARENESS</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02.01 AWARE OF INFORMATION TECHNOLOGY UPDATE (02.02 AWARE OF INFORMATION TECHNOLOGY REGULATORY)</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Z-009-3:2015-M02/P(2/2)</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KESEDARAN PERATURAN IT (</w:t>
      </w:r>
      <w:r>
        <w:rPr>
          <w:rFonts w:ascii="Arial" w:hAnsi="Arial" w:cs="Arial"/>
          <w:i/>
          <w:color w:val="000000"/>
          <w:sz w:val="22"/>
        </w:rPr>
        <w:t>IT REGULATORY AWARENESS</w:t>
      </w:r>
      <w:r>
        <w:rPr>
          <w:rFonts w:ascii="Arial" w:hAnsi="Arial" w:cs="Arial"/>
          <w:color w:val="000000"/>
          <w:sz w:val="22"/>
        </w:rPr>
        <w:t>)</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menjelaskan Kesedaran Peraturan IT (</w:t>
      </w:r>
      <w:r>
        <w:rPr>
          <w:rFonts w:ascii="Arial" w:hAnsi="Arial" w:cs="Arial"/>
          <w:i/>
          <w:color w:val="000000"/>
          <w:sz w:val="22"/>
        </w:rPr>
        <w:t>IT Regulatory Awareness</w:t>
      </w:r>
      <w:r>
        <w:rPr>
          <w:rFonts w:ascii="Arial" w:hAnsi="Arial" w:cs="Arial"/>
          <w:color w:val="000000"/>
          <w:sz w:val="22"/>
        </w:rPr>
        <w:t>) dalam organisasi serta peraturan berkaitan yang menjejaskan penggunaannya. Individu yang kompeten dalam Kebolehan Teras ini mestilah dapat peka terhadap mana-mana akta kawal selia yang berkaitan dengan IT.</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1. Sejarah Akta Komunikasi dan Multimedia di Malaysia (</w:t>
      </w:r>
      <w:r>
        <w:rPr>
          <w:rFonts w:ascii="Arial" w:hAnsi="Arial" w:cs="Arial"/>
          <w:i/>
          <w:color w:val="000000"/>
          <w:sz w:val="22"/>
        </w:rPr>
        <w:t>History of Communication and Multimedia Act in Malaysia</w:t>
      </w:r>
      <w:r>
        <w:rPr>
          <w:rFonts w:ascii="Arial" w:hAnsi="Arial" w:cs="Arial"/>
          <w:color w:val="000000"/>
          <w:sz w:val="22"/>
        </w:rPr>
        <w:t>)</w:t>
      </w:r>
    </w:p>
    <w:p>
      <w:pPr>
        <w:spacing w:line="276" w:lineRule="auto" w:after="120"/>
        <w:jc w:val="left"/>
      </w:pPr>
      <w:r>
        <w:rPr>
          <w:rFonts w:ascii="Arial" w:hAnsi="Arial" w:cs="Arial"/>
          <w:color w:val="000000"/>
          <w:sz w:val="22"/>
        </w:rPr>
        <w:t>1.1 Dengan kelahiran dan perkembangan pesat industri komunikasi dan multimedia bersepadu (</w:t>
      </w:r>
      <w:r>
        <w:rPr>
          <w:rFonts w:ascii="Arial" w:hAnsi="Arial" w:cs="Arial"/>
          <w:i/>
          <w:color w:val="000000"/>
          <w:sz w:val="22"/>
        </w:rPr>
        <w:t>convergent</w:t>
      </w:r>
      <w:r>
        <w:rPr>
          <w:rFonts w:ascii="Arial" w:hAnsi="Arial" w:cs="Arial"/>
          <w:color w:val="000000"/>
          <w:sz w:val="22"/>
        </w:rPr>
        <w:t>) di Malaysia pada pertengahan 1990-an, paradigma baharu yang memerlukan pendekatan baharu dalam dasar dan kawal selia media menjadi satu keperluan. Selaras dengan ini, Malaysia menerima pakai model kawal selia bersepadu (</w:t>
      </w:r>
      <w:r>
        <w:rPr>
          <w:rFonts w:ascii="Arial" w:hAnsi="Arial" w:cs="Arial"/>
          <w:i/>
          <w:color w:val="000000"/>
          <w:sz w:val="22"/>
        </w:rPr>
        <w:t>convergence regulation model</w:t>
      </w:r>
      <w:r>
        <w:rPr>
          <w:rFonts w:ascii="Arial" w:hAnsi="Arial" w:cs="Arial"/>
          <w:color w:val="000000"/>
          <w:sz w:val="22"/>
        </w:rPr>
        <w:t>) bagi industri komunikasi dan multimedia pada November 1998.</w:t>
      </w:r>
    </w:p>
    <w:p>
      <w:pPr>
        <w:spacing w:line="276" w:lineRule="auto" w:after="120"/>
        <w:jc w:val="left"/>
      </w:pPr>
      <w:r>
        <w:rPr>
          <w:rFonts w:ascii="Arial" w:hAnsi="Arial" w:cs="Arial"/>
          <w:color w:val="000000"/>
          <w:sz w:val="22"/>
        </w:rPr>
        <w:t>1.2 Dua perundangan digubal untuk melaksanakan model kawal selia baharu ini: Akta Komunikasi dan Multimedia 1998 yang menetapkan rangka kerja perlesenan kawal selia baharu bagi industri, dan Akta Suruhanjaya Komunikasi dan Multimedia Malaysia (1998) yang mewujudkan badan kawal selia baharu, iaitu Suruhanjaya Komunikasi dan Multimedia Malaysia (SKMM/MCMC).</w:t>
      </w:r>
    </w:p>
    <w:p>
      <w:pPr>
        <w:spacing w:line="276" w:lineRule="auto" w:after="120"/>
        <w:jc w:val="left"/>
      </w:pPr>
      <w:r>
        <w:rPr>
          <w:rFonts w:ascii="Arial" w:hAnsi="Arial" w:cs="Arial"/>
          <w:color w:val="000000"/>
          <w:sz w:val="22"/>
        </w:rPr>
        <w:t>1.3 Akta Komunikasi dan Multimedia (1998) berkuat kuasa pada 1 April 1999; dengannya, Akta Telekomunikasi (1950) dan Akta Penyiaran (1988) dimansuhkan.</w:t>
      </w:r>
    </w:p>
    <w:p>
      <w:pPr>
        <w:spacing w:line="276" w:lineRule="auto" w:after="120"/>
        <w:jc w:val="left"/>
      </w:pPr>
      <w:r>
        <w:rPr>
          <w:rFonts w:ascii="Arial" w:hAnsi="Arial" w:cs="Arial"/>
          <w:color w:val="000000"/>
          <w:sz w:val="22"/>
        </w:rPr>
        <w:t>1.4 Dengan penubuhannya, Suruhanjaya menetapkan 10 objektif dasar kebangsaan untuk: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Menjadikan Malaysia sebagai pusat global utama bagi perkhidmatan maklumat dan kandungan komunikasi dan multimedia;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Menggalakkan masyarakat sivil di mana perkhidmatan berasaskan maklumat menjadi asas peningkatan berterusan kualiti kerja dan kehidupan;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Membesar dan memupuk sumber maklumat tempatan dan perwakilan budaya yang memudahkan identiti nasional dan kepelbagaian global;</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Mengawal selia untuk manfaat jangka panjang pengguna akhir;</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Menggalakkan tahap keyakinan pengguna yang tinggi terhadap penyampaian perkhidmatan industri;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 Memastikan peruntukan perkhidmatan yang saksama dan berpatutan menerusi infrastruktur nasional yang menyeluruh;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vii) Mewujudkan persekitaran aplikasi yang teguh untuk pengguna akhir;</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viii) Memudahkan peruntukan sumber yang cekap seperti tenaga kerja mahir, modal, pengetahuan dan aset nasional;</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ix) Menggalakkan pembangunan keupayaan dan kemahiran dalam industri bersepadu Malaysia; dan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x) Memastikan keselamatan maklumat serta kebolehpercayaan dan integriti rangkaian.</w:t>
      </w:r>
    </w:p>
    <w:p>
      <w:pPr>
        <w:spacing w:line="276" w:lineRule="auto" w:after="120"/>
        <w:jc w:val="left"/>
      </w:pPr>
      <w:r>
        <w:rPr>
          <w:rFonts w:ascii="Arial" w:hAnsi="Arial" w:cs="Arial"/>
          <w:color w:val="000000"/>
          <w:sz w:val="22"/>
        </w:rPr>
        <w:t>1.5 10 objektif dasar kebangsaan ini menjadi asas kawal selia rangka kerja SKMM yang merangkumi kawal selia ekonomi, kawal selia teknikal, perlindungan pengguna dan kawal selia sosial. Pada 1 November 2001, MCMC turut mengambil alih fungsi kawal selia Akta Perkhidmatan Pos 1991 dan Akta Tandatangan Digital 1997.</w:t>
      </w:r>
    </w:p>
    <w:p>
      <w:pPr>
        <w:spacing w:line="276" w:lineRule="auto" w:after="120"/>
        <w:jc w:val="left"/>
      </w:pPr>
      <w:r>
        <w:rPr>
          <w:rFonts w:ascii="Arial" w:hAnsi="Arial" w:cs="Arial"/>
          <w:i/>
          <w:color w:val="000000"/>
          <w:sz w:val="22"/>
        </w:rPr>
        <w:t>Konteks studio:</w:t>
      </w:r>
      <w:r>
        <w:rPr>
          <w:rFonts w:ascii="Arial" w:hAnsi="Arial" w:cs="Arial"/>
          <w:color w:val="000000"/>
          <w:sz w:val="22"/>
        </w:rPr>
        <w:t xml:space="preserve"> setiap kandungan video yang dihantar untuk siaran (TV, </w:t>
      </w:r>
      <w:r>
        <w:rPr>
          <w:rFonts w:ascii="Arial" w:hAnsi="Arial" w:cs="Arial"/>
          <w:i/>
          <w:color w:val="000000"/>
          <w:sz w:val="22"/>
        </w:rPr>
        <w:t>streaming</w:t>
      </w:r>
      <w:r>
        <w:rPr>
          <w:rFonts w:ascii="Arial" w:hAnsi="Arial" w:cs="Arial"/>
          <w:color w:val="000000"/>
          <w:sz w:val="22"/>
        </w:rPr>
        <w:t>, iklan digital) tertakluk kepada rangka kerja kawal selia kandungan dan komunikasi ini — Producer/Editor perlu peka bahawa kandungan yang disiarkan bukan sahaja tertakluk kepada arahan klien, tetapi juga kerangka undang-undang negara.</w:t>
      </w:r>
    </w:p>
    <w:p>
      <w:pPr>
        <w:pStyle w:val="Heading2"/>
        <w:spacing w:line="276" w:lineRule="auto" w:after="120"/>
        <w:jc w:val="left"/>
      </w:pPr>
      <w:r>
        <w:rPr>
          <w:rFonts w:ascii="Arial" w:hAnsi="Arial" w:cs="Arial"/>
          <w:color w:val="000000"/>
          <w:sz w:val="22"/>
        </w:rPr>
        <w:t>2. Rangka Kerja Institusi di Bawah Akta Komunikasi dan Multimedia (CMA) 1998 (</w:t>
      </w:r>
      <w:r>
        <w:rPr>
          <w:rFonts w:ascii="Arial" w:hAnsi="Arial" w:cs="Arial"/>
          <w:i/>
          <w:color w:val="000000"/>
          <w:sz w:val="22"/>
        </w:rPr>
        <w:t>Institutional Framework Under the Communication and Multimedia Acts (CMA) 1998</w:t>
      </w:r>
      <w:r>
        <w:rPr>
          <w:rFonts w:ascii="Arial" w:hAnsi="Arial" w:cs="Arial"/>
          <w:color w:val="000000"/>
          <w:sz w:val="22"/>
        </w:rPr>
        <w:t>)</w:t>
      </w:r>
    </w:p>
    <w:p>
      <w:pPr>
        <w:spacing w:line="276" w:lineRule="auto" w:after="120"/>
        <w:jc w:val="left"/>
      </w:pPr>
      <w:r>
        <w:rPr>
          <w:rFonts w:ascii="Arial" w:hAnsi="Arial" w:cs="Arial"/>
          <w:b/>
          <w:color w:val="000000"/>
          <w:sz w:val="22"/>
        </w:rPr>
        <w:t>Carta Alir 2.</w:t>
      </w:r>
      <w:r>
        <w:rPr>
          <w:rFonts w:ascii="Arial" w:hAnsi="Arial" w:cs="Arial"/>
          <w:color w:val="000000"/>
          <w:sz w:val="22"/>
        </w:rPr>
        <w:t xml:space="preserve"> Carta Alir Proses Rangka Kerja Institusi di Bawah Akta Komunikasi dan Multimedia (CMA) 1998: PARLIMEN → KABINET → MENTERI → MCMC → TRIBUNAL RAYUAN; KEMENTERIAN memberi ARAHAN kepada MCMC; MCMC melaksanakan KAWAL SELIA/PENGUATKUASAAN ke atas PEMAIN INDUSTRI; PEMAIN INDUSTRI dan PENGGUNA menyalurkan maklum balas melalui FORA INDUSTRI (Pengguna, Kandungan, Akses dan Teknikal) yang menghasilkan CADANGAN/RAYUAN kembali kepada MCMC secara KONSULTATIF.</w:t>
      </w:r>
    </w:p>
    <w:p>
      <w:pPr>
        <w:spacing w:line="276" w:lineRule="auto" w:after="120"/>
        <w:jc w:val="left"/>
      </w:pPr>
      <w:r>
        <w:rPr>
          <w:rFonts w:ascii="Arial" w:hAnsi="Arial" w:cs="Arial"/>
          <w:color w:val="000000"/>
          <w:sz w:val="22"/>
        </w:rPr>
        <w:t>2.1 Terdapat 5 perundangan yang berada di bawah Suruhanjaya Komunikasi dan Multimedia Malaysia: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Akta Suruhanjaya Komunikasi dan Multimedia Malaysia 1998 [Akta 589]</w:t>
      </w:r>
      <w:r>
        <w:rPr>
          <w:rFonts w:ascii="Arial" w:hAnsi="Arial" w:cs="Arial"/>
          <w:color w:val="000000"/>
          <w:sz w:val="22"/>
        </w:rPr>
        <w:t xml:space="preserve"> — Akta bagi memperuntukkan penubuhan Suruhanjaya Komunikasi dan Multimedia Malaysia dengan kuasa mengawal selia aktiviti komunikasi dan multimedia di Malaysia, serta menguatkuasakan undang-undang komunikasi dan multimedia Malaysia.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Akta Perkhidmatan Pos 2012 [Akta 741]</w:t>
      </w:r>
      <w:r>
        <w:rPr>
          <w:rFonts w:ascii="Arial" w:hAnsi="Arial" w:cs="Arial"/>
          <w:color w:val="000000"/>
          <w:sz w:val="22"/>
        </w:rPr>
        <w:t xml:space="preserve"> — Akta bagi memperuntukkan pelesenan perkhidmatan pos dan kawal selia industri perkhidmatan pos.</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Akta Komunikasi dan Multimedia 1998 [Akta 588]</w:t>
      </w:r>
      <w:r>
        <w:rPr>
          <w:rFonts w:ascii="Arial" w:hAnsi="Arial" w:cs="Arial"/>
          <w:color w:val="000000"/>
          <w:sz w:val="22"/>
        </w:rPr>
        <w:t xml:space="preserve"> — Akta bagi memperuntukkan dan mengawal selia industri komunikasi dan multimedia yang bersepadu.</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iv) </w:t>
      </w:r>
      <w:r>
        <w:rPr>
          <w:rFonts w:ascii="Arial" w:hAnsi="Arial" w:cs="Arial"/>
          <w:b/>
          <w:color w:val="000000"/>
          <w:sz w:val="22"/>
        </w:rPr>
        <w:t>Akta Tandatangan Digital 1997 [Akta 562]</w:t>
      </w:r>
      <w:r>
        <w:rPr>
          <w:rFonts w:ascii="Arial" w:hAnsi="Arial" w:cs="Arial"/>
          <w:color w:val="000000"/>
          <w:sz w:val="22"/>
        </w:rPr>
        <w:t xml:space="preserve"> — Akta bagi memperuntukkan dan mengawal selia penggunaan tandatangan digital.</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 </w:t>
      </w:r>
      <w:r>
        <w:rPr>
          <w:rFonts w:ascii="Arial" w:hAnsi="Arial" w:cs="Arial"/>
          <w:b/>
          <w:color w:val="000000"/>
          <w:sz w:val="22"/>
        </w:rPr>
        <w:t>Akta Perdagangan Strategik 2010 (STA) [Akta 708]</w:t>
      </w:r>
      <w:r>
        <w:rPr>
          <w:rFonts w:ascii="Arial" w:hAnsi="Arial" w:cs="Arial"/>
          <w:color w:val="000000"/>
          <w:sz w:val="22"/>
        </w:rPr>
        <w:t xml:space="preserve"> — Akta bagi mengawal eksport, transhipmen, transit dan pemerantaraan barangan strategik, termasuk senjata dan bahan berkaitan.</w:t>
      </w:r>
    </w:p>
    <w:p>
      <w:pPr>
        <w:spacing w:line="276" w:lineRule="auto" w:after="120"/>
        <w:jc w:val="left"/>
      </w:pPr>
      <w:r>
        <w:rPr>
          <w:rFonts w:ascii="Arial" w:hAnsi="Arial" w:cs="Arial"/>
          <w:i/>
          <w:color w:val="000000"/>
          <w:sz w:val="22"/>
        </w:rPr>
        <w:t>Konteks studio:</w:t>
      </w:r>
      <w:r>
        <w:rPr>
          <w:rFonts w:ascii="Arial" w:hAnsi="Arial" w:cs="Arial"/>
          <w:color w:val="000000"/>
          <w:sz w:val="22"/>
        </w:rPr>
        <w:t xml:space="preserve"> </w:t>
      </w:r>
      <w:r>
        <w:rPr>
          <w:rFonts w:ascii="Arial" w:hAnsi="Arial" w:cs="Arial"/>
          <w:b/>
          <w:color w:val="000000"/>
          <w:sz w:val="22"/>
        </w:rPr>
        <w:t>Akta Tandatangan Digital 1997</w:t>
      </w:r>
      <w:r>
        <w:rPr>
          <w:rFonts w:ascii="Arial" w:hAnsi="Arial" w:cs="Arial"/>
          <w:color w:val="000000"/>
          <w:sz w:val="22"/>
        </w:rPr>
        <w:t xml:space="preserve"> relevan apabila studio menandatangani kontrak klien atau perjanjian NDA secara digital sebelum menyerahkan </w:t>
      </w:r>
      <w:r>
        <w:rPr>
          <w:rFonts w:ascii="Arial" w:hAnsi="Arial" w:cs="Arial"/>
          <w:i/>
          <w:color w:val="000000"/>
          <w:sz w:val="22"/>
        </w:rPr>
        <w:t>master file</w:t>
      </w:r>
      <w:r>
        <w:rPr>
          <w:rFonts w:ascii="Arial" w:hAnsi="Arial" w:cs="Arial"/>
          <w:color w:val="000000"/>
          <w:sz w:val="22"/>
        </w:rPr>
        <w:t xml:space="preserve">; </w:t>
      </w:r>
      <w:r>
        <w:rPr>
          <w:rFonts w:ascii="Arial" w:hAnsi="Arial" w:cs="Arial"/>
          <w:b/>
          <w:color w:val="000000"/>
          <w:sz w:val="22"/>
        </w:rPr>
        <w:t>Akta Komunikasi dan Multimedia 1998</w:t>
      </w:r>
      <w:r>
        <w:rPr>
          <w:rFonts w:ascii="Arial" w:hAnsi="Arial" w:cs="Arial"/>
          <w:color w:val="000000"/>
          <w:sz w:val="22"/>
        </w:rPr>
        <w:t xml:space="preserve"> menetapkan tanggungjawab kandungan yang disiarkan (fitnah, kandungan lucah, hasutan) — Editor dan Producer perlu memastikan </w:t>
      </w:r>
      <w:r>
        <w:rPr>
          <w:rFonts w:ascii="Arial" w:hAnsi="Arial" w:cs="Arial"/>
          <w:i/>
          <w:color w:val="000000"/>
          <w:sz w:val="22"/>
        </w:rPr>
        <w:t>deliverable</w:t>
      </w:r>
      <w:r>
        <w:rPr>
          <w:rFonts w:ascii="Arial" w:hAnsi="Arial" w:cs="Arial"/>
          <w:color w:val="000000"/>
          <w:sz w:val="22"/>
        </w:rPr>
        <w:t xml:space="preserve"> video mematuhi peraturan kandungan MCMC sebelum penyiaran awam.</w:t>
      </w:r>
    </w:p>
    <w:p>
      <w:pPr>
        <w:pStyle w:val="Heading2"/>
        <w:spacing w:line="276" w:lineRule="auto" w:after="120"/>
        <w:jc w:val="left"/>
      </w:pPr>
      <w:r>
        <w:rPr>
          <w:rFonts w:ascii="Arial" w:hAnsi="Arial" w:cs="Arial"/>
          <w:color w:val="000000"/>
          <w:sz w:val="22"/>
        </w:rPr>
        <w:t>3. Bagaimana Peraturan Ini Menjejaskan Cara Kita Menggunakan Teknologi Maklumat?</w:t>
      </w:r>
    </w:p>
    <w:p>
      <w:pPr>
        <w:spacing w:line="276" w:lineRule="auto" w:after="120"/>
        <w:jc w:val="left"/>
      </w:pPr>
      <w:r>
        <w:rPr>
          <w:rFonts w:ascii="Arial" w:hAnsi="Arial" w:cs="Arial"/>
          <w:color w:val="000000"/>
          <w:sz w:val="22"/>
        </w:rPr>
        <w:t>3.1 Bagi memastikan Teknologi Maklumat digunakan menurut peraturan yang ditetapkan oleh badan kawal selia dan untuk menggalakkan penggunaan IT, beberapa inisiatif telah diperkenalkan, iaitu:</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Klik Dengan Bijak (*Click Wisely*).</w:t>
      </w:r>
      <w:r>
        <w:rPr>
          <w:rFonts w:ascii="Arial" w:hAnsi="Arial" w:cs="Arial"/>
          <w:color w:val="000000"/>
          <w:sz w:val="22"/>
        </w:rPr>
        <w:t xml:space="preserve"> Perkembangan pesat teknologi komunikasi dan multimedia, serta pertumbuhan positif penembusan jalur lebar di seluruh negara, boleh memberi kesan buruk kepada nilai dan budaya Malaysia jika langkah segera tidak diambil untuk memupuk penggunaan internet yang positif berdasarkan Rukun Negara. Peningkatan jenayah siber yang membimbangkan paling baik dikurangkan melalui aktiviti penguatkuasaan dan pendekatan pendidikan untuk masyarakat. Antara tindakan proaktif MCMC ialah memulakan Kempen Kesedaran Awam tentang Keselamatan Internet yang dinamakan Klik Dengan Bijak, yang menekankan keselamatan, kesejahteraan dan tanggungjawab pengguna internet.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1Malaysia Netbooks.</w:t>
      </w:r>
      <w:r>
        <w:rPr>
          <w:rFonts w:ascii="Arial" w:hAnsi="Arial" w:cs="Arial"/>
          <w:color w:val="000000"/>
          <w:sz w:val="22"/>
        </w:rPr>
        <w:t xml:space="preserve"> Melalui program </w:t>
      </w:r>
      <w:r>
        <w:rPr>
          <w:rFonts w:ascii="Arial" w:hAnsi="Arial" w:cs="Arial"/>
          <w:i/>
          <w:color w:val="000000"/>
          <w:sz w:val="22"/>
        </w:rPr>
        <w:t>Universal Service Provision</w:t>
      </w:r>
      <w:r>
        <w:rPr>
          <w:rFonts w:ascii="Arial" w:hAnsi="Arial" w:cs="Arial"/>
          <w:color w:val="000000"/>
          <w:sz w:val="22"/>
        </w:rPr>
        <w:t xml:space="preserve"> (USP), MCMC memperuntukkan sejuta unit </w:t>
      </w:r>
      <w:r>
        <w:rPr>
          <w:rFonts w:ascii="Arial" w:hAnsi="Arial" w:cs="Arial"/>
          <w:i/>
          <w:color w:val="000000"/>
          <w:sz w:val="22"/>
        </w:rPr>
        <w:t>netbook</w:t>
      </w:r>
      <w:r>
        <w:rPr>
          <w:rFonts w:ascii="Arial" w:hAnsi="Arial" w:cs="Arial"/>
          <w:color w:val="000000"/>
          <w:sz w:val="22"/>
        </w:rPr>
        <w:t xml:space="preserve"> 1Malaysia untuk diedarkan kepada penerima layak seperti pelajar sekolah menengah dan universiti dari kumpulan berpendapatan rendah, bagi memastikan mereka mempunyai peluang mengakses internet dan meningkatkan penggunaan jalur lebar.</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Kampung Tanpa Wayar (*Wireless Village*).</w:t>
      </w:r>
      <w:r>
        <w:rPr>
          <w:rFonts w:ascii="Arial" w:hAnsi="Arial" w:cs="Arial"/>
          <w:color w:val="000000"/>
          <w:sz w:val="22"/>
        </w:rPr>
        <w:t xml:space="preserve"> Inisiatif yang diilhamkan oleh YB Menteri Komunikasi dan Multimedia, sebahagian daripada usaha berterusan MCMC ke arah merealisasikan objektif USP di bawah Akta Komunikasi dan Multimedia 1998 serta Peraturan USP 2002, iaitu penyediaan akses internet secara kolektif dan individu di kawasan tidak terlindung.</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iv) </w:t>
      </w:r>
      <w:r>
        <w:rPr>
          <w:rFonts w:ascii="Arial" w:hAnsi="Arial" w:cs="Arial"/>
          <w:b/>
          <w:color w:val="000000"/>
          <w:sz w:val="22"/>
        </w:rPr>
        <w:t>U-Pustaka (*U-Library*).</w:t>
      </w:r>
      <w:r>
        <w:rPr>
          <w:rFonts w:ascii="Arial" w:hAnsi="Arial" w:cs="Arial"/>
          <w:color w:val="000000"/>
          <w:sz w:val="22"/>
        </w:rPr>
        <w:t xml:space="preserve"> Peranan U-Pustaka dalam konteks pembangunan, perpaduan negara dan daya saing global adalah penting, sebagai perkhidmatan penyampaian maklumat dan pengetahuan inovatif yang turut menggalakkan pembelajaran sepanjang hayat pada bila-bila masa dan di mana-mana sahaja bagi meningkatkan kualiti kerja dan kualiti hidup.</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 </w:t>
      </w:r>
      <w:r>
        <w:rPr>
          <w:rFonts w:ascii="Arial" w:hAnsi="Arial" w:cs="Arial"/>
          <w:b/>
          <w:color w:val="000000"/>
          <w:sz w:val="22"/>
        </w:rPr>
        <w:t>Pakej Komunikasi Belia (*Youth Communication Package*, PKB/YCP).</w:t>
      </w:r>
      <w:r>
        <w:rPr>
          <w:rFonts w:ascii="Arial" w:hAnsi="Arial" w:cs="Arial"/>
          <w:color w:val="000000"/>
          <w:sz w:val="22"/>
        </w:rPr>
        <w:t xml:space="preserve"> Belia berumur 21 hingga 30 tahun layak memohon rebat RM200 untuk telefon pintar 3G terpilih daripada peniaga berdaftar celco. Skim ini beroperasi secara "siapa cepat dia dapat" untuk 1.5 juta belia layak pertama.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vi) </w:t>
      </w:r>
      <w:r>
        <w:rPr>
          <w:rFonts w:ascii="Arial" w:hAnsi="Arial" w:cs="Arial"/>
          <w:b/>
          <w:color w:val="000000"/>
          <w:sz w:val="22"/>
        </w:rPr>
        <w:t>Pusat Internet 1Malaysia (*1Malaysia Internet Centre*).</w:t>
      </w:r>
      <w:r>
        <w:rPr>
          <w:rFonts w:ascii="Arial" w:hAnsi="Arial" w:cs="Arial"/>
          <w:color w:val="000000"/>
          <w:sz w:val="22"/>
        </w:rPr>
        <w:t xml:space="preserve"> Inisiatif berterusan untuk meningkatkan status sosioekonomi kumpulan tidak terlindung dalam komuniti dengan menyediakan perkhidmatan rangkaian dan aplikasi di kawasan tidak terlindung.</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vii) </w:t>
      </w:r>
      <w:r>
        <w:rPr>
          <w:rFonts w:ascii="Arial" w:hAnsi="Arial" w:cs="Arial"/>
          <w:b/>
          <w:color w:val="000000"/>
          <w:sz w:val="22"/>
        </w:rPr>
        <w:t>Get Malaysian Business Online.</w:t>
      </w:r>
      <w:r>
        <w:rPr>
          <w:rFonts w:ascii="Arial" w:hAnsi="Arial" w:cs="Arial"/>
          <w:color w:val="000000"/>
          <w:sz w:val="22"/>
        </w:rPr>
        <w:t xml:space="preserve"> Diumumkan dalam Bajet 2013, geran ini ditawarkan secara "siapa cepat dia dapat" untuk sehingga 50,000 perniagaan, dan berakhir apabila had dicapai atau pada 31 Disember 2013. Geran ini untuk syarikat berpendapatan tidak melebihi RM200,000 setahun dengan kurang daripada 10 pekerja, bagi membantu meningkatkan pendapatan perniagaan tempatan.</w:t>
      </w:r>
    </w:p>
    <w:p>
      <w:pPr>
        <w:spacing w:line="276" w:lineRule="auto" w:after="120"/>
        <w:jc w:val="left"/>
      </w:pPr>
      <w:r>
        <w:rPr>
          <w:rFonts w:ascii="Arial" w:hAnsi="Arial" w:cs="Arial"/>
          <w:i/>
          <w:color w:val="000000"/>
          <w:sz w:val="22"/>
        </w:rPr>
        <w:t>Konteks studio:</w:t>
      </w:r>
      <w:r>
        <w:rPr>
          <w:rFonts w:ascii="Arial" w:hAnsi="Arial" w:cs="Arial"/>
          <w:color w:val="000000"/>
          <w:sz w:val="22"/>
        </w:rPr>
        <w:t xml:space="preserve"> prinsip penggunaan IT yang bertanggungjawab di sebalik "Klik Dengan Bijak" terpakai kepada studio penyuntingan apabila mengendalikan </w:t>
      </w:r>
      <w:r>
        <w:rPr>
          <w:rFonts w:ascii="Arial" w:hAnsi="Arial" w:cs="Arial"/>
          <w:i/>
          <w:color w:val="000000"/>
          <w:sz w:val="22"/>
        </w:rPr>
        <w:t>cloud storage</w:t>
      </w:r>
      <w:r>
        <w:rPr>
          <w:rFonts w:ascii="Arial" w:hAnsi="Arial" w:cs="Arial"/>
          <w:color w:val="000000"/>
          <w:sz w:val="22"/>
        </w:rPr>
        <w:t xml:space="preserve"> projek klien, kata laluan akaun penghantaran </w:t>
      </w:r>
      <w:r>
        <w:rPr>
          <w:rFonts w:ascii="Arial" w:hAnsi="Arial" w:cs="Arial"/>
          <w:i/>
          <w:color w:val="000000"/>
          <w:sz w:val="22"/>
        </w:rPr>
        <w:t>deliverable</w:t>
      </w:r>
      <w:r>
        <w:rPr>
          <w:rFonts w:ascii="Arial" w:hAnsi="Arial" w:cs="Arial"/>
          <w:color w:val="000000"/>
          <w:sz w:val="22"/>
        </w:rPr>
        <w:t xml:space="preserve">, dan perkongsian pautan </w:t>
      </w:r>
      <w:r>
        <w:rPr>
          <w:rFonts w:ascii="Arial" w:hAnsi="Arial" w:cs="Arial"/>
          <w:i/>
          <w:color w:val="000000"/>
          <w:sz w:val="22"/>
        </w:rPr>
        <w:t>proxy footage</w:t>
      </w:r>
      <w:r>
        <w:rPr>
          <w:rFonts w:ascii="Arial" w:hAnsi="Arial" w:cs="Arial"/>
          <w:color w:val="000000"/>
          <w:sz w:val="22"/>
        </w:rPr>
        <w:t xml:space="preserve"> — kelalaian keselamatan siber studio boleh mendedahkan bahan belum siar (</w:t>
      </w:r>
      <w:r>
        <w:rPr>
          <w:rFonts w:ascii="Arial" w:hAnsi="Arial" w:cs="Arial"/>
          <w:i/>
          <w:color w:val="000000"/>
          <w:sz w:val="22"/>
        </w:rPr>
        <w:t>unreleased content</w:t>
      </w:r>
      <w:r>
        <w:rPr>
          <w:rFonts w:ascii="Arial" w:hAnsi="Arial" w:cs="Arial"/>
          <w:color w:val="000000"/>
          <w:sz w:val="22"/>
        </w:rPr>
        <w:t>) klien sebelum tarikh siaran rasmi.</w:t>
      </w:r>
    </w:p>
    <w:p/>
    <w:p>
      <w:pPr>
        <w:spacing w:before="120" w:after="120" w:line="276" w:lineRule="auto"/>
        <w:jc w:val="left"/>
      </w:pPr>
      <w:r>
        <w:rPr>
          <w:rFonts w:ascii="Arial" w:hAnsi="Arial" w:cs="Arial"/>
          <w:b/>
          <w:color w:val="000000"/>
          <w:sz w:val="22"/>
        </w:rPr>
        <w:t>SOALAN:</w:t>
      </w:r>
    </w:p>
    <w:p>
      <w:pPr>
        <w:spacing w:line="276" w:lineRule="auto" w:after="120"/>
        <w:jc w:val="left"/>
      </w:pPr>
      <w:r>
        <w:rPr>
          <w:rFonts w:ascii="Arial" w:hAnsi="Arial" w:cs="Arial"/>
          <w:color w:val="000000"/>
          <w:sz w:val="22"/>
        </w:rPr>
        <w:t>1. Apakah dua perundangan yang digubal untuk melaksanakan model kawal selia baharu?</w:t>
      </w:r>
    </w:p>
    <w:p>
      <w:pPr>
        <w:spacing w:line="276" w:lineRule="auto" w:after="120"/>
        <w:jc w:val="left"/>
      </w:pPr>
      <w:r>
        <w:rPr>
          <w:rFonts w:ascii="Arial" w:hAnsi="Arial" w:cs="Arial"/>
          <w:b/>
          <w:color w:val="000000"/>
          <w:sz w:val="22"/>
        </w:rPr>
        <w:t>Jawapan model:</w:t>
      </w:r>
      <w:r>
        <w:rPr>
          <w:rFonts w:ascii="Arial" w:hAnsi="Arial" w:cs="Arial"/>
          <w:color w:val="000000"/>
          <w:sz w:val="22"/>
        </w:rPr>
        <w:t xml:space="preserve"> Akta Komunikasi dan Multimedia 1998, yang menetapkan rangka kerja perlesenan kawal selia baharu bagi industri; dan Akta Suruhanjaya Komunikasi dan Multimedia Malaysia (1998), yang mewujudkan badan kawal selia MCMC/SKMM — contohnya, kedua-dua akta ini yang menentukan bagaimana kandungan video studio boleh disiarkan secara sah di Malaysia.</w:t>
      </w:r>
    </w:p>
    <w:p>
      <w:pPr>
        <w:spacing w:line="276" w:lineRule="auto" w:after="120"/>
        <w:jc w:val="left"/>
      </w:pPr>
      <w:r>
        <w:rPr>
          <w:rFonts w:ascii="Arial" w:hAnsi="Arial" w:cs="Arial"/>
          <w:color w:val="000000"/>
          <w:sz w:val="22"/>
        </w:rPr>
        <w:t>2. Berapa banyak dasar yang ditetapkan oleh Suruhanjaya?</w:t>
      </w:r>
    </w:p>
    <w:p>
      <w:pPr>
        <w:spacing w:line="276" w:lineRule="auto" w:after="120"/>
        <w:jc w:val="left"/>
      </w:pPr>
      <w:r>
        <w:rPr>
          <w:rFonts w:ascii="Arial" w:hAnsi="Arial" w:cs="Arial"/>
          <w:b/>
          <w:color w:val="000000"/>
          <w:sz w:val="22"/>
        </w:rPr>
        <w:t>Jawapan model:</w:t>
      </w:r>
      <w:r>
        <w:rPr>
          <w:rFonts w:ascii="Arial" w:hAnsi="Arial" w:cs="Arial"/>
          <w:color w:val="000000"/>
          <w:sz w:val="22"/>
        </w:rPr>
        <w:t xml:space="preserve"> 10 objektif dasar kebangsaan, antaranya memastikan keselamatan maklumat dan kebolehpercayaan rangkaian — relevan kepada studio kerana ia menjadi asas kepada keperluan melindungi data klien dan </w:t>
      </w:r>
      <w:r>
        <w:rPr>
          <w:rFonts w:ascii="Arial" w:hAnsi="Arial" w:cs="Arial"/>
          <w:i/>
          <w:color w:val="000000"/>
          <w:sz w:val="22"/>
        </w:rPr>
        <w:t>footage</w:t>
      </w:r>
      <w:r>
        <w:rPr>
          <w:rFonts w:ascii="Arial" w:hAnsi="Arial" w:cs="Arial"/>
          <w:color w:val="000000"/>
          <w:sz w:val="22"/>
        </w:rPr>
        <w:t xml:space="preserve"> sulit dalam sistem IT studio.</w:t>
      </w:r>
    </w:p>
    <w:p>
      <w:pPr>
        <w:spacing w:line="276" w:lineRule="auto" w:after="120"/>
        <w:jc w:val="left"/>
      </w:pPr>
      <w:r>
        <w:rPr>
          <w:rFonts w:ascii="Arial" w:hAnsi="Arial" w:cs="Arial"/>
          <w:color w:val="000000"/>
          <w:sz w:val="22"/>
        </w:rPr>
        <w:t>3. Berapa banyak perundangan berada di bawah Suruhanjaya Komunikasi dan Multimedia Malaysia?</w:t>
      </w:r>
    </w:p>
    <w:p>
      <w:pPr>
        <w:spacing w:line="276" w:lineRule="auto" w:after="120"/>
        <w:jc w:val="left"/>
      </w:pPr>
      <w:r>
        <w:rPr>
          <w:rFonts w:ascii="Arial" w:hAnsi="Arial" w:cs="Arial"/>
          <w:b/>
          <w:color w:val="000000"/>
          <w:sz w:val="22"/>
        </w:rPr>
        <w:t>Jawapan model:</w:t>
      </w:r>
      <w:r>
        <w:rPr>
          <w:rFonts w:ascii="Arial" w:hAnsi="Arial" w:cs="Arial"/>
          <w:color w:val="000000"/>
          <w:sz w:val="22"/>
        </w:rPr>
        <w:t xml:space="preserve"> 5 perundangan — Akta Suruhanjaya Komunikasi dan Multimedia Malaysia 1998, Akta Perkhidmatan Pos 2012, Akta Komunikasi dan Multimedia 1998, Akta Tandatangan Digital 1997, dan Akta Perdagangan Strategik 2010 — contohnya, Akta Tandatangan Digital 1997 relevan apabila studio menggunakan tandatangan digital untuk kontrak dan pengesahan penyerahan </w:t>
      </w:r>
      <w:r>
        <w:rPr>
          <w:rFonts w:ascii="Arial" w:hAnsi="Arial" w:cs="Arial"/>
          <w:i/>
          <w:color w:val="000000"/>
          <w:sz w:val="22"/>
        </w:rPr>
        <w:t>deliverable</w:t>
      </w:r>
      <w:r>
        <w:rPr>
          <w:rFonts w:ascii="Arial" w:hAnsi="Arial" w:cs="Arial"/>
          <w:color w:val="000000"/>
          <w:sz w:val="22"/>
        </w:rPr>
        <w:t xml:space="preserve"> klien.</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http://www.kkmm.gov.my/index.php?option=com_content&amp;view=article&amp;id=292&amp;Itemid=135&amp;lang=en</w:t>
      </w:r>
    </w:p>
    <w:p>
      <w:pPr>
        <w:spacing w:line="276" w:lineRule="auto" w:after="120"/>
        <w:jc w:val="left"/>
      </w:pPr>
      <w:r>
        <w:rPr>
          <w:rFonts w:ascii="Arial" w:hAnsi="Arial" w:cs="Arial"/>
          <w:color w:val="000000"/>
          <w:sz w:val="22"/>
        </w:rPr>
        <w:t>http://www.skmm.gov.my/Legal/Acts/Communications-and-Multimedia-Act-1998-Reprint-200.aspx</w:t>
      </w:r>
    </w:p>
    <w:p>
      <w:pPr>
        <w:spacing w:line="276" w:lineRule="auto" w:after="120"/>
        <w:jc w:val="left"/>
      </w:pPr>
      <w:r>
        <w:rPr>
          <w:rFonts w:ascii="Arial" w:hAnsi="Arial" w:cs="Arial"/>
          <w:color w:val="000000"/>
          <w:sz w:val="22"/>
        </w:rPr>
        <w:t>http://www.skmm.gov.my/Legal/Acts/Malaysian-Communications-And-Multimedia-Commission.aspx</w:t>
      </w:r>
    </w:p>
    <w:p>
      <w:pPr>
        <w:spacing w:line="276" w:lineRule="auto" w:after="120"/>
        <w:jc w:val="left"/>
      </w:pPr>
      <w:r>
        <w:rPr>
          <w:rFonts w:ascii="Arial" w:hAnsi="Arial" w:cs="Arial"/>
          <w:color w:val="000000"/>
          <w:sz w:val="22"/>
        </w:rPr>
        <w:t>http://www.agc.gov.my/Akta/Vol.%2012/Act%20588.pdf</w:t>
      </w:r>
    </w:p>
    <w:p>
      <w:pPr>
        <w:spacing w:line="276" w:lineRule="auto" w:after="120"/>
        <w:jc w:val="left"/>
      </w:pPr>
      <w:r>
        <w:rPr>
          <w:rFonts w:ascii="Arial" w:hAnsi="Arial" w:cs="Arial"/>
          <w:color w:val="000000"/>
          <w:sz w:val="22"/>
        </w:rPr>
        <w:t>http://www.ubifrance.com/medias/press/mcmc-overview-of-malaysian-communication-and-broadcast-industry-24.09.2012_3_10_2012_19_24.pdf</w:t>
      </w:r>
    </w:p>
    <w:p>
      <w:pPr>
        <w:spacing w:line="276" w:lineRule="auto" w:after="120"/>
        <w:jc w:val="left"/>
      </w:pPr>
      <w:r>
        <w:rPr>
          <w:rFonts w:ascii="Arial" w:hAnsi="Arial" w:cs="Arial"/>
          <w:color w:val="000000"/>
          <w:sz w:val="22"/>
        </w:rPr>
        <w:t>http://www.greentechmalaysia.my/content.asp?cmscategoryid=202&amp;zoneid=7#.VYN1U2CDm_4</w:t>
      </w:r>
    </w:p>
    <w:p>
      <w:pPr>
        <w:spacing w:line="276" w:lineRule="auto" w:after="120"/>
        <w:jc w:val="left"/>
      </w:pPr>
      <w:r>
        <w:rPr>
          <w:rFonts w:ascii="Arial" w:hAnsi="Arial" w:cs="Arial"/>
          <w:color w:val="000000"/>
          <w:sz w:val="22"/>
        </w:rPr>
        <w:t>https://www.itu.int/ITU-D/asp/CMS/Events/2010/ITU-ADB/Malaysia/S1-Mr_Ooi_Seong_Hoe.pdf</w:t>
      </w:r>
    </w:p>
    <w:p>
      <w:pPr>
        <w:spacing w:line="276" w:lineRule="auto" w:after="120"/>
        <w:jc w:val="left"/>
      </w:pPr>
      <w:r>
        <w:rPr>
          <w:rFonts w:ascii="Arial" w:hAnsi="Arial" w:cs="Arial"/>
          <w:color w:val="000000"/>
          <w:sz w:val="22"/>
        </w:rPr>
        <w:t>https://en.wikipedia.org/wiki/Malaysian_Communications_and_Multimedia_Commission</w:t>
      </w:r>
    </w:p>
    <w:p>
      <w:pPr>
        <w:spacing w:line="276" w:lineRule="auto" w:after="120"/>
        <w:jc w:val="left"/>
      </w:pPr>
      <w:r>
        <w:rPr>
          <w:rFonts w:ascii="Arial" w:hAnsi="Arial" w:cs="Arial"/>
          <w:color w:val="000000"/>
          <w:sz w:val="22"/>
        </w:rPr>
        <w:t>http://www.jftc.go.jp/eacpf/05/AOTS/malaysia_cheong.pdf</w:t>
      </w:r>
    </w:p>
    <w:p>
      <w:pPr>
        <w:spacing w:line="276" w:lineRule="auto" w:after="120"/>
        <w:jc w:val="left"/>
      </w:pPr>
      <w:r>
        <w:rPr>
          <w:rFonts w:ascii="Arial" w:hAnsi="Arial" w:cs="Arial"/>
          <w:color w:val="000000"/>
          <w:sz w:val="22"/>
        </w:rPr>
        <w:t>http://www.austrade.gov.au/Export/Export-Markets/Countries/Malaysia/Industries/ICT#.VY7LEvmqpBc</w:t>
      </w:r>
    </w:p>
    <w:p>
      <w:pPr>
        <w:spacing w:line="276" w:lineRule="auto" w:after="120"/>
        <w:jc w:val="left"/>
      </w:pPr>
      <w:r>
        <w:rPr>
          <w:rFonts w:ascii="Arial" w:hAnsi="Arial" w:cs="Arial"/>
          <w:color w:val="000000"/>
          <w:sz w:val="22"/>
        </w:rPr>
        <w:t>http://www.itu.int/ITUD/treg/Events/Seminars/2005/Thailand/11%20Regulatory%20Framework%20-%20Malaysia.pdf</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