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3</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CA06 HEALTH, SAFETY AND ENVIRONMENTAL IMPLEMENTATION CONSCIOUSNESS *(Kesedaran Pelaksanaan Kesihatan, Keselamatan Dan Alam Sekitar)*</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6.1 EXECUTE HEALTH CONSCIOUSNESS *(Melaksanakan Kesedaran Kesihatan)* / 6.2 EXECUTE SAFETY CONSCIOUSNESS *(Melaksanakan Kesedaran Keselamatan)* / 6.3 EXECUTE ENVIRONMENT COMPLIANCE *(Melaksanakan Pematuhan Alam Sekitar)*</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Z-009-3:2015-M06/P(1/4)</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 xml:space="preserve">OCCUPATIONAL SAFETY AND HEALTH (OSH) ACT, INDUSTRIAL CODE OF PRACTISE (ICOP) AND GUIDELINES </w:t>
      </w:r>
      <w:r>
        <w:rPr>
          <w:rFonts w:ascii="Arial" w:hAnsi="Arial" w:cs="Arial"/>
          <w:i/>
          <w:color w:val="000000"/>
          <w:sz w:val="22"/>
        </w:rPr>
        <w:t>(Akta Keselamatan Dan Kesihatan Pekerjaan (OSH), Kod Amalan Industri (ICOP) Dan Garis Panduan)</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Kertas Penerangan ini bertujuan menerangkan Akta Keselamatan Dan Kesihatan Pekerjaan (OSH), Kod Amalan Industri (ICOP) dan Garis Panduan. Seseorang yang cekap dalam kesedaran kesihatan, keselamatan dan alam sekitar mesti dapat melaksanakan kesedaran kesihatan, melaksanakan kesedaran keselamatan dan melaksanakan pematuhan alam sekitar.</w:t>
      </w:r>
    </w:p>
    <w:p>
      <w:pPr>
        <w:spacing w:line="276" w:lineRule="auto" w:after="120"/>
        <w:jc w:val="left"/>
      </w:pPr>
      <w:r>
        <w:rPr>
          <w:rFonts w:ascii="Arial" w:hAnsi="Arial" w:cs="Arial"/>
          <w:i/>
          <w:color w:val="000000"/>
          <w:sz w:val="22"/>
        </w:rPr>
        <w:t>(PURPOSE — rasmi: "This Information Sheet is intended to describe on the Occupational Safety And Health (OSH) Act, Industrial Code Of Practise (ICOP) and Guidelines. The person who is competent in health, safety and environmental consciousness shall be able to execute health consciousness, execute safety consciousness and execute environment compliance.")</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 xml:space="preserve">1. Occupational Safety And Health Act 1994 </w:t>
      </w:r>
      <w:r>
        <w:rPr>
          <w:rFonts w:ascii="Arial" w:hAnsi="Arial" w:cs="Arial"/>
          <w:i/>
          <w:color w:val="000000"/>
          <w:sz w:val="22"/>
        </w:rPr>
        <w:t>(Akta Keselamatan Dan Kesihatan Pekerjaan 1994)</w:t>
      </w:r>
    </w:p>
    <w:p>
      <w:pPr>
        <w:spacing w:line="276" w:lineRule="auto" w:after="120"/>
        <w:jc w:val="left"/>
      </w:pPr>
      <w:r>
        <w:rPr>
          <w:rFonts w:ascii="Arial" w:hAnsi="Arial" w:cs="Arial"/>
          <w:b/>
          <w:color w:val="000000"/>
          <w:sz w:val="22"/>
        </w:rPr>
        <w:t>Seksyen 15. Tugas am majikan dan orang yang bekerja sendiri terhadap pekerja mereka.</w:t>
      </w:r>
      <w:r>
        <w:rPr>
          <w:rFonts w:ascii="Arial" w:hAnsi="Arial" w:cs="Arial"/>
          <w:color w:val="000000"/>
          <w:sz w:val="22"/>
        </w:rPr>
        <w:t xml:space="preserve"> </w:t>
      </w:r>
      <w:r>
        <w:rPr>
          <w:rFonts w:ascii="Arial" w:hAnsi="Arial" w:cs="Arial"/>
          <w:i/>
          <w:color w:val="000000"/>
          <w:sz w:val="22"/>
        </w:rPr>
        <w:t>(Section 15. General duties of employers and self-employed persons to their employees.)</w:t>
      </w:r>
      <w:r>
        <w:rPr>
          <w:rFonts w:ascii="Arial" w:hAnsi="Arial" w:cs="Arial"/>
          <w:color w:val="000000"/>
          <w:sz w:val="22"/>
        </w:rPr>
        <w:t xml:space="preserve"> (1) Adalah menjadi tugas setiap majikan dan setiap orang yang bekerja sendiri untuk memastikan, setakat yang praktik, keselamatan, kesihatan dan kebajikan di tempat kerja bagi semua pekerjanya. (2) Tanpa menjejaskan keluasan subseksyen (1), perkara yang diliputi termasuk khususnya — (a) penyediaan dan penyenggaraan loji dan sistem kerja yang, setakat yang praktik, selamat dan tanpa risiko kepada kesihatan; (b) membuat aturan untuk memastikan, setakat yang praktik, keselamatan dan ketiadaan risiko kepada kesihatan berhubung dengan penggunaan atau pengendalian, pengendalian, penyimpanan dan pengangkutan loji dan bahan; (c) penyediaan maklumat, arahan, latihan dan penyeliaan yang perlu untuk memastikan, setakat yang praktik, keselamatan dan kesihatan di tempat kerja bagi pekerjanya; (d) setakat yang praktik, berkenaan mana-mana tempat kerja di bawah kawalan majikan atau orang yang bekerja sendiri, penyenggaraan tempat itu dalam keadaan selamat dan tanpa risiko kepada kesihatan serta penyediaan dan penyenggaraan cara masuk dan keluar yang selamat; (e) penyediaan dan penyenggaraan persekitaran kerja bagi pekerjanya yang, setakat yang praktik, selamat, tanpa risiko kepada kesihatan, dan mencukupi dari segi kemudahan kebajikan di tempat kerja. (3) Bagi maksud subseksyen (1) dan (2) — "pekerja" termasuk kontraktor bebas yang diambil bekerja oleh majikan atau orang yang bekerja sendiri dan mana-mana pekerja kontraktor bebas itu; dan tugas majikan atau orang yang bekerja sendiri di bawah subseksyen (1) dan (2) meliputi kontraktor bebas dan pekerja kontraktor bebas itu berhubung dengan perkara yang majikan atau orang yang bekerja sendiri itu mempunyai kawalan, atau akan mempunyai kawalan jika tiada perjanjian sebaliknya.</w:t>
      </w:r>
    </w:p>
    <w:p>
      <w:pPr>
        <w:spacing w:line="276" w:lineRule="auto" w:after="120"/>
        <w:jc w:val="left"/>
      </w:pPr>
      <w:r>
        <w:rPr>
          <w:rFonts w:ascii="Arial" w:hAnsi="Arial" w:cs="Arial"/>
          <w:b/>
          <w:color w:val="000000"/>
          <w:sz w:val="22"/>
        </w:rPr>
        <w:t>Seksyen 16. Kewajipan merangka dasar keselamatan dan kesihatan.</w:t>
      </w:r>
      <w:r>
        <w:rPr>
          <w:rFonts w:ascii="Arial" w:hAnsi="Arial" w:cs="Arial"/>
          <w:color w:val="000000"/>
          <w:sz w:val="22"/>
        </w:rPr>
        <w:t xml:space="preserve"> </w:t>
      </w:r>
      <w:r>
        <w:rPr>
          <w:rFonts w:ascii="Arial" w:hAnsi="Arial" w:cs="Arial"/>
          <w:i/>
          <w:color w:val="000000"/>
          <w:sz w:val="22"/>
        </w:rPr>
        <w:t>(Section 16. Duty to formulate safety and health policy.)</w:t>
      </w:r>
      <w:r>
        <w:rPr>
          <w:rFonts w:ascii="Arial" w:hAnsi="Arial" w:cs="Arial"/>
          <w:color w:val="000000"/>
          <w:sz w:val="22"/>
        </w:rPr>
        <w:t xml:space="preserve"> Kecuali dalam kes yang ditetapkan, adalah menjadi tugas setiap majikan dan setiap orang yang bekerja sendiri untuk menyediakan dan, seberapa kerap yang sesuai, menyemak semula suatu penyata bertulis mengenai dasar am beliau berkenaan keselamatan dan kesihatan di tempat kerja bagi pekerjanya serta organisasi dan aturan yang berkuat kuasa bagi melaksanakan dasar itu, dan membawa penyata dan sebarang semakan semula itu kepada pengetahuan semua pekerjanya.</w:t>
      </w:r>
    </w:p>
    <w:p>
      <w:pPr>
        <w:spacing w:line="276" w:lineRule="auto" w:after="120"/>
        <w:jc w:val="left"/>
      </w:pPr>
      <w:r>
        <w:rPr>
          <w:rFonts w:ascii="Arial" w:hAnsi="Arial" w:cs="Arial"/>
          <w:b/>
          <w:color w:val="000000"/>
          <w:sz w:val="22"/>
        </w:rPr>
        <w:t>Seksyen 17. Tugas am majikan dan orang yang bekerja sendiri terhadap orang lain selain pekerja mereka.</w:t>
      </w:r>
      <w:r>
        <w:rPr>
          <w:rFonts w:ascii="Arial" w:hAnsi="Arial" w:cs="Arial"/>
          <w:color w:val="000000"/>
          <w:sz w:val="22"/>
        </w:rPr>
        <w:t xml:space="preserve"> </w:t>
      </w:r>
      <w:r>
        <w:rPr>
          <w:rFonts w:ascii="Arial" w:hAnsi="Arial" w:cs="Arial"/>
          <w:i/>
          <w:color w:val="000000"/>
          <w:sz w:val="22"/>
        </w:rPr>
        <w:t>(Section 17. General duties of employers and self-employed persons to persons other than their employees.)</w:t>
      </w:r>
      <w:r>
        <w:rPr>
          <w:rFonts w:ascii="Arial" w:hAnsi="Arial" w:cs="Arial"/>
          <w:color w:val="000000"/>
          <w:sz w:val="22"/>
        </w:rPr>
        <w:t xml:space="preserve"> (1) Adalah menjadi tugas setiap majikan dan setiap orang yang bekerja sendiri untuk menjalankan usahanya sedemikian rupa bagi memastikan, setakat yang praktik, bahawa dia dan orang lain, yang bukan pekerjanya, yang mungkin terjejas tidak terdedah kepada risiko kepada keselamatan atau kesihatan mereka. (2) Adalah menjadi tugas setiap majikan dan setiap orang yang bekerja sendiri, dalam keadaan dan cara yang ditetapkan, untuk memberi kepada orang, yang bukan pekerjanya, yang mungkin terjejas oleh cara dia menjalankan usahanya, maklumat yang ditetapkan mengenai aspek cara dia menjalankan usahanya yang mungkin menjejaskan keselamatan atau kesihatan mereka.</w:t>
      </w:r>
    </w:p>
    <w:p>
      <w:pPr>
        <w:spacing w:line="276" w:lineRule="auto" w:after="120"/>
        <w:jc w:val="left"/>
      </w:pPr>
      <w:r>
        <w:rPr>
          <w:rFonts w:ascii="Arial" w:hAnsi="Arial" w:cs="Arial"/>
          <w:b/>
          <w:color w:val="000000"/>
          <w:sz w:val="22"/>
        </w:rPr>
        <w:t>Seksyen 18. Tugas penghuni tempat kerja terhadap orang lain selain pekerjanya.</w:t>
      </w:r>
      <w:r>
        <w:rPr>
          <w:rFonts w:ascii="Arial" w:hAnsi="Arial" w:cs="Arial"/>
          <w:color w:val="000000"/>
          <w:sz w:val="22"/>
        </w:rPr>
        <w:t xml:space="preserve"> </w:t>
      </w:r>
      <w:r>
        <w:rPr>
          <w:rFonts w:ascii="Arial" w:hAnsi="Arial" w:cs="Arial"/>
          <w:i/>
          <w:color w:val="000000"/>
          <w:sz w:val="22"/>
        </w:rPr>
        <w:t>(Section 18. Duties of an occupier of a place of work to persons other than his employees.)</w:t>
      </w:r>
      <w:r>
        <w:rPr>
          <w:rFonts w:ascii="Arial" w:hAnsi="Arial" w:cs="Arial"/>
          <w:color w:val="000000"/>
          <w:sz w:val="22"/>
        </w:rPr>
        <w:t xml:space="preserve"> (1) Penghuni premis bukan kediaman yang telah disediakan kepada orang, yang bukan pekerjanya, sebagai tempat kerja, atau sebagai tempat mereka boleh menggunakan loji atau bahan yang disediakan untuk kegunaan mereka di sana, hendaklah mengambil langkah yang praktik untuk memastikan premis, semua cara masuk dan keluar yang tersedia untuk kegunaan orang yang menggunakan premis, dan mana-mana loji atau bahan di premis atau disediakan untuk kegunaan di sana, adalah atau selamat dan tanpa risiko kepada kesihatan. (2) Seseorang yang mempunyai, melalui kontrak atau pajakan atau sebaliknya, kewajipan berkenaan (a) penyenggaraan atau pembaikan tempat kerja atau cara masuk dan keluar; atau (b) pencegahan risiko kepada keselamatan dan kesihatan yang mungkin timbul daripada penggunaan mana-mana loji atau bahan di tempat kerja, hendaklah bagi maksud subseksyen (1) dianggap mempunyai kawalan ke atas perkara yang kewajipannya meliputi.</w:t>
      </w:r>
    </w:p>
    <w:p>
      <w:pPr>
        <w:spacing w:line="276" w:lineRule="auto" w:after="120"/>
        <w:jc w:val="left"/>
      </w:pPr>
      <w:r>
        <w:rPr>
          <w:rFonts w:ascii="Arial" w:hAnsi="Arial" w:cs="Arial"/>
          <w:b/>
          <w:color w:val="000000"/>
          <w:sz w:val="22"/>
        </w:rPr>
        <w:t>Seksyen 19. Penalti bagi kesalahan di bawah seksyen 15, 16, 17 atau 18.</w:t>
      </w:r>
      <w:r>
        <w:rPr>
          <w:rFonts w:ascii="Arial" w:hAnsi="Arial" w:cs="Arial"/>
          <w:color w:val="000000"/>
          <w:sz w:val="22"/>
        </w:rPr>
        <w:t xml:space="preserve"> </w:t>
      </w:r>
      <w:r>
        <w:rPr>
          <w:rFonts w:ascii="Arial" w:hAnsi="Arial" w:cs="Arial"/>
          <w:i/>
          <w:color w:val="000000"/>
          <w:sz w:val="22"/>
        </w:rPr>
        <w:t>(Section 19. Penalty for an offence under section 15, 16, 17 or 18.)</w:t>
      </w:r>
      <w:r>
        <w:rPr>
          <w:rFonts w:ascii="Arial" w:hAnsi="Arial" w:cs="Arial"/>
          <w:color w:val="000000"/>
          <w:sz w:val="22"/>
        </w:rPr>
        <w:t xml:space="preserve"> Seseorang yang melanggar peruntukan seksyen 15, 16, 17 atau 18 adalah melakukan suatu kesalahan dan hendaklah, apabila disabitkan, dikenakan denda tidak melebihi lima puluh ribu ringgit atau penjara tidak melebihi dua tahun atau kedua-duanya.</w:t>
      </w:r>
    </w:p>
    <w:p>
      <w:pPr>
        <w:spacing w:line="276" w:lineRule="auto" w:after="120"/>
        <w:jc w:val="left"/>
      </w:pPr>
      <w:r>
        <w:rPr>
          <w:rFonts w:ascii="Arial" w:hAnsi="Arial" w:cs="Arial"/>
          <w:b/>
          <w:color w:val="000000"/>
          <w:sz w:val="22"/>
        </w:rPr>
        <w:t>Organisasi Keselamatan Dan Kesihatan</w:t>
      </w:r>
      <w:r>
        <w:rPr>
          <w:rFonts w:ascii="Arial" w:hAnsi="Arial" w:cs="Arial"/>
          <w:color w:val="000000"/>
          <w:sz w:val="22"/>
        </w:rPr>
        <w:t xml:space="preserve"> </w:t>
      </w:r>
      <w:r>
        <w:rPr>
          <w:rFonts w:ascii="Arial" w:hAnsi="Arial" w:cs="Arial"/>
          <w:i/>
          <w:color w:val="000000"/>
          <w:sz w:val="22"/>
        </w:rPr>
        <w:t>(Safety and health Organisation)</w:t>
      </w:r>
      <w:r>
        <w:rPr>
          <w:rFonts w:ascii="Arial" w:hAnsi="Arial" w:cs="Arial"/>
          <w:color w:val="000000"/>
          <w:sz w:val="22"/>
        </w:rPr>
        <w:t xml:space="preserve"> — Akta ini menetapkan 3 peruntukan penting berkaitan pengawasan perubatan, penubuhan jawatankuasa keselamatan dan kesihatan, dan keperluan pegawai keselamatan dan kesihatan. Akta memberi kuasa kepada Menteri untuk membuat peraturan apabila kerja membawa risiko tinggi kepada pekerja dan pengawasan perubatan diperlukan. Adalah mandatori bagi tempat kerja yang mengambil lebih daripada 40 pekerja untuk menubuhkan jawatankuasa keselamatan dan kesihatan. Majikan mesti berunding dengan jawatankuasa mengenai perkara OSH yang perlu dilaksanakan bagi menggalakkan kerjasama dan penyertaan pekerja-majikan. Akta memberi kuasa kepada Menteri mewartakan kelas atau perihalan industri yang memerlukan seorang pegawai keselamatan dan kesihatan.</w:t>
      </w:r>
    </w:p>
    <w:p>
      <w:pPr>
        <w:spacing w:line="276" w:lineRule="auto" w:after="120"/>
        <w:jc w:val="left"/>
      </w:pPr>
      <w:r>
        <w:rPr>
          <w:rFonts w:ascii="Arial" w:hAnsi="Arial" w:cs="Arial"/>
          <w:i/>
          <w:color w:val="000000"/>
          <w:sz w:val="22"/>
        </w:rPr>
        <w:t>Contoh studio penyuntingan video:</w:t>
      </w:r>
      <w:r>
        <w:rPr>
          <w:rFonts w:ascii="Arial" w:hAnsi="Arial" w:cs="Arial"/>
          <w:color w:val="000000"/>
          <w:sz w:val="22"/>
        </w:rPr>
        <w:t xml:space="preserve"> jika studio post-production 3U berkembang melebihi 40 pekerja (Editor, Colourist, Sound Designer, staf sokongan IT), pengurusan wajib menubuhkan jawatankuasa keselamatan dan kesihatan yang membincangkan risiko seperti kabel elektrik </w:t>
      </w:r>
      <w:r>
        <w:rPr>
          <w:rFonts w:ascii="Arial" w:hAnsi="Arial" w:cs="Arial"/>
          <w:i/>
          <w:color w:val="000000"/>
          <w:sz w:val="22"/>
        </w:rPr>
        <w:t>render farm</w:t>
      </w:r>
      <w:r>
        <w:rPr>
          <w:rFonts w:ascii="Arial" w:hAnsi="Arial" w:cs="Arial"/>
          <w:color w:val="000000"/>
          <w:sz w:val="22"/>
        </w:rPr>
        <w:t xml:space="preserve">, ergonomik suite penyuntingan dan pelupusan </w:t>
      </w:r>
      <w:r>
        <w:rPr>
          <w:rFonts w:ascii="Arial" w:hAnsi="Arial" w:cs="Arial"/>
          <w:i/>
          <w:color w:val="000000"/>
          <w:sz w:val="22"/>
        </w:rPr>
        <w:t>e-waste</w:t>
      </w:r>
      <w:r>
        <w:rPr>
          <w:rFonts w:ascii="Arial" w:hAnsi="Arial" w:cs="Arial"/>
          <w:color w:val="000000"/>
          <w:sz w:val="22"/>
        </w:rPr>
        <w:t xml:space="preserve"> pemacu keras rosak.</w:t>
      </w:r>
    </w:p>
    <w:p>
      <w:pPr>
        <w:spacing w:line="276" w:lineRule="auto" w:after="120"/>
        <w:jc w:val="left"/>
      </w:pPr>
      <w:r>
        <w:rPr>
          <w:rFonts w:ascii="Arial" w:hAnsi="Arial" w:cs="Arial"/>
          <w:b/>
          <w:color w:val="000000"/>
          <w:sz w:val="22"/>
        </w:rPr>
        <w:t>Pemberitahuan Kemalangan, Kejadian Berbahaya, Keracunan Pekerjaan Dan Penyakit Pekerjaan</w:t>
      </w:r>
      <w:r>
        <w:rPr>
          <w:rFonts w:ascii="Arial" w:hAnsi="Arial" w:cs="Arial"/>
          <w:color w:val="000000"/>
          <w:sz w:val="22"/>
        </w:rPr>
        <w:t xml:space="preserve"> — Kewajipan melaporkan perkara di atas terletak pada majikan yang hendaklah memberitahu pejabat DOSH terdekat dengan cara terpantas. Tanggungjawab melaporkan penyakit atau keracunan pekerjaan terletak pada pengamal perubatan berdaftar.</w:t>
      </w:r>
    </w:p>
    <w:p>
      <w:pPr>
        <w:spacing w:line="276" w:lineRule="auto" w:after="120"/>
        <w:jc w:val="left"/>
      </w:pPr>
      <w:r>
        <w:rPr>
          <w:rFonts w:ascii="Arial" w:hAnsi="Arial" w:cs="Arial"/>
          <w:b/>
          <w:color w:val="000000"/>
          <w:sz w:val="22"/>
        </w:rPr>
        <w:t>Kod Amalan Industri</w:t>
      </w:r>
      <w:r>
        <w:rPr>
          <w:rFonts w:ascii="Arial" w:hAnsi="Arial" w:cs="Arial"/>
          <w:color w:val="000000"/>
          <w:sz w:val="22"/>
        </w:rPr>
        <w:t xml:space="preserve"> </w:t>
      </w:r>
      <w:r>
        <w:rPr>
          <w:rFonts w:ascii="Arial" w:hAnsi="Arial" w:cs="Arial"/>
          <w:i/>
          <w:color w:val="000000"/>
          <w:sz w:val="22"/>
        </w:rPr>
        <w:t>(Industry Codes of Practice)</w:t>
      </w:r>
      <w:r>
        <w:rPr>
          <w:rFonts w:ascii="Arial" w:hAnsi="Arial" w:cs="Arial"/>
          <w:color w:val="000000"/>
          <w:sz w:val="22"/>
        </w:rPr>
        <w:t xml:space="preserve"> — Bagi mewujudkan sistem perundangan yang fleksibel, Akta menetapkan peranan kod amalan industri sebagai panduan untuk mematuhi Akta. Menteri boleh meluluskan kod sedemikian dan mewartakannya, dan ia boleh diterima sebagai keterangan dalam prosiding mahkamah.</w:t>
      </w:r>
    </w:p>
    <w:p>
      <w:pPr>
        <w:spacing w:line="276" w:lineRule="auto" w:after="120"/>
        <w:jc w:val="left"/>
      </w:pPr>
      <w:r>
        <w:rPr>
          <w:rFonts w:ascii="Arial" w:hAnsi="Arial" w:cs="Arial"/>
          <w:b/>
          <w:color w:val="000000"/>
          <w:sz w:val="22"/>
        </w:rPr>
        <w:t>Pegawai Penguatkuasaan Dan Pematuhan</w:t>
      </w:r>
      <w:r>
        <w:rPr>
          <w:rFonts w:ascii="Arial" w:hAnsi="Arial" w:cs="Arial"/>
          <w:color w:val="000000"/>
          <w:sz w:val="22"/>
        </w:rPr>
        <w:t xml:space="preserve"> </w:t>
      </w:r>
      <w:r>
        <w:rPr>
          <w:rFonts w:ascii="Arial" w:hAnsi="Arial" w:cs="Arial"/>
          <w:i/>
          <w:color w:val="000000"/>
          <w:sz w:val="22"/>
        </w:rPr>
        <w:t>(Enforcement and Compliance Officers)</w:t>
      </w:r>
      <w:r>
        <w:rPr>
          <w:rFonts w:ascii="Arial" w:hAnsi="Arial" w:cs="Arial"/>
          <w:color w:val="000000"/>
          <w:sz w:val="22"/>
        </w:rPr>
        <w:t xml:space="preserve"> — Tanggungjawab menguatkuasakan Akta terletak pada Ketua Pengarah (DG) yang merupakan pegawai awam. Pegawai awam lain turut dilantik untuk membantu DG. Pegawai mempunyai kuasa luas untuk masuk, memeriksa, mengkaji, merampas, menyiasat dan memeriksa saksi apabila diarahkan oleh DG untuk mengadakan siasatan. Pegawai Penguatkuasaan diberi kuasa luas untuk mengeluarkan: (a) notis penambahbaikan; (b) notis larangan yang mana pemilik perlu menghentikan operasi serta-merta dan tidak boleh menyambung kerja sehingga langkah pembetulan yang memuaskan pegawai telah diambil. Jika pemilik terkilan dengan keputusan, dia boleh merayu kepada DG.</w:t>
      </w:r>
    </w:p>
    <w:p>
      <w:pPr>
        <w:spacing w:line="276" w:lineRule="auto" w:after="120"/>
        <w:jc w:val="left"/>
      </w:pPr>
      <w:r>
        <w:rPr>
          <w:rFonts w:ascii="Arial" w:hAnsi="Arial" w:cs="Arial"/>
          <w:b/>
          <w:color w:val="000000"/>
          <w:sz w:val="22"/>
        </w:rPr>
        <w:t>Liabiliti Bagi Kesalahan Dan Penalti</w:t>
      </w:r>
      <w:r>
        <w:rPr>
          <w:rFonts w:ascii="Arial" w:hAnsi="Arial" w:cs="Arial"/>
          <w:color w:val="000000"/>
          <w:sz w:val="22"/>
        </w:rPr>
        <w:t xml:space="preserve"> </w:t>
      </w:r>
      <w:r>
        <w:rPr>
          <w:rFonts w:ascii="Arial" w:hAnsi="Arial" w:cs="Arial"/>
          <w:i/>
          <w:color w:val="000000"/>
          <w:sz w:val="22"/>
        </w:rPr>
        <w:t>(Liability for Offences and Penalties)</w:t>
      </w:r>
      <w:r>
        <w:rPr>
          <w:rFonts w:ascii="Arial" w:hAnsi="Arial" w:cs="Arial"/>
          <w:color w:val="000000"/>
          <w:sz w:val="22"/>
        </w:rPr>
        <w:t xml:space="preserve"> — Kedua-dua badan korporat (syarikat) dan individu yang mengawal korporat itu bertanggungjawab atas pelanggaran mana-mana peruntukan Akta. Penalti maksimum yang ditetapkan ialah denda RM50,000 atau penjara 5 tahun atau kedua-duanya.</w:t>
      </w:r>
    </w:p>
    <w:p>
      <w:pPr>
        <w:spacing w:line="276" w:lineRule="auto" w:after="120"/>
        <w:jc w:val="left"/>
      </w:pPr>
      <w:r>
        <w:rPr>
          <w:rFonts w:ascii="Arial" w:hAnsi="Arial" w:cs="Arial"/>
          <w:b/>
          <w:color w:val="000000"/>
          <w:sz w:val="22"/>
        </w:rPr>
        <w:t>Jadual 1: Peraturan Yang Dibuat Di Bawah OSHA 1994</w:t>
      </w:r>
      <w:r>
        <w:rPr>
          <w:rFonts w:ascii="Arial" w:hAnsi="Arial" w:cs="Arial"/>
          <w:color w:val="000000"/>
          <w:sz w:val="22"/>
        </w:rPr>
        <w:t xml:space="preserve"> </w:t>
      </w:r>
      <w:r>
        <w:rPr>
          <w:rFonts w:ascii="Arial" w:hAnsi="Arial" w:cs="Arial"/>
          <w:i/>
          <w:color w:val="000000"/>
          <w:sz w:val="22"/>
        </w:rPr>
        <w:t>(Table 1: Regulation made under OSHA 1994)</w:t>
      </w:r>
    </w:p>
    <w:tbl>
      <w:tblPr>
        <w:tblStyle w:val="TableGrid"/>
        <w:tblW w:type="auto" w:w="0"/>
        <w:tblLayout w:type="autofit"/>
        <w:tblLook w:firstColumn="1" w:firstRow="1" w:lastColumn="0" w:lastRow="0" w:noHBand="0" w:noVBand="1" w:val="04A0"/>
      </w:tblPr>
      <w:tblGrid>
        <w:gridCol w:w="3104"/>
        <w:gridCol w:w="3104"/>
        <w:gridCol w:w="3104"/>
      </w:tblGrid>
      <w:tr>
        <w:trPr>
          <w:tblHeader w:val="true"/>
          <w:cantSplit w:val="true"/>
        </w:trPr>
        <w:tc>
          <w:tcPr>
            <w:tcW w:type="dxa" w:w="3104"/>
            <w:tcMar>
              <w:top w:w="57" w:type="dxa"/>
              <w:left w:w="57" w:type="dxa"/>
              <w:bottom w:w="57" w:type="dxa"/>
              <w:right w:w="57" w:type="dxa"/>
            </w:tcMar>
            <w:shd w:val="clear" w:color="auto" w:fill="D9D9D9"/>
          </w:tcPr>
          <w:p>
            <w:r>
              <w:rPr>
                <w:rFonts w:ascii="Arial" w:hAnsi="Arial" w:cs="Arial"/>
                <w:b/>
                <w:color w:val="000000"/>
                <w:sz w:val="20"/>
              </w:rPr>
              <w:t>Bil</w:t>
            </w:r>
          </w:p>
        </w:tc>
        <w:tc>
          <w:tcPr>
            <w:tcW w:type="dxa" w:w="3104"/>
            <w:tcMar>
              <w:top w:w="57" w:type="dxa"/>
              <w:left w:w="57" w:type="dxa"/>
              <w:bottom w:w="57" w:type="dxa"/>
              <w:right w:w="57" w:type="dxa"/>
            </w:tcMar>
            <w:shd w:val="clear" w:color="auto" w:fill="D9D9D9"/>
          </w:tcPr>
          <w:p>
            <w:r>
              <w:rPr>
                <w:rFonts w:ascii="Arial" w:hAnsi="Arial" w:cs="Arial"/>
                <w:b/>
                <w:color w:val="000000"/>
                <w:sz w:val="20"/>
              </w:rPr>
              <w:t>Peraturan</w:t>
            </w:r>
          </w:p>
        </w:tc>
        <w:tc>
          <w:tcPr>
            <w:tcW w:type="dxa" w:w="3104"/>
            <w:tcMar>
              <w:top w:w="57" w:type="dxa"/>
              <w:left w:w="57" w:type="dxa"/>
              <w:bottom w:w="57" w:type="dxa"/>
              <w:right w:w="57" w:type="dxa"/>
            </w:tcMar>
            <w:shd w:val="clear" w:color="auto" w:fill="D9D9D9"/>
          </w:tcPr>
          <w:p>
            <w:r>
              <w:rPr>
                <w:rFonts w:ascii="Arial" w:hAnsi="Arial" w:cs="Arial"/>
                <w:b/>
                <w:color w:val="000000"/>
                <w:sz w:val="20"/>
              </w:rPr>
              <w:t>Tahun</w:t>
            </w:r>
          </w:p>
        </w:tc>
      </w:tr>
      <w:tr>
        <w:trPr>
          <w:cantSplit w:val="true"/>
        </w:trPr>
        <w:tc>
          <w:tcPr>
            <w:tcW w:type="dxa" w:w="3104"/>
            <w:tcMar>
              <w:top w:w="57" w:type="dxa"/>
              <w:left w:w="57" w:type="dxa"/>
              <w:bottom w:w="57" w:type="dxa"/>
              <w:right w:w="57" w:type="dxa"/>
            </w:tcMar>
          </w:tcPr>
          <w:p>
            <w:r>
              <w:rPr>
                <w:rFonts w:ascii="Arial" w:hAnsi="Arial" w:cs="Arial"/>
                <w:color w:val="000000"/>
                <w:sz w:val="20"/>
              </w:rPr>
              <w:t>1</w:t>
            </w:r>
          </w:p>
        </w:tc>
        <w:tc>
          <w:tcPr>
            <w:tcW w:type="dxa" w:w="3104"/>
            <w:tcMar>
              <w:top w:w="57" w:type="dxa"/>
              <w:left w:w="57" w:type="dxa"/>
              <w:bottom w:w="57" w:type="dxa"/>
              <w:right w:w="57" w:type="dxa"/>
            </w:tcMar>
          </w:tcPr>
          <w:p>
            <w:r>
              <w:rPr>
                <w:rFonts w:ascii="Arial" w:hAnsi="Arial" w:cs="Arial"/>
                <w:color w:val="000000"/>
                <w:sz w:val="20"/>
              </w:rPr>
              <w:t>Employer's Safety and Health General Policy Statement (Exception)</w:t>
            </w:r>
          </w:p>
        </w:tc>
        <w:tc>
          <w:tcPr>
            <w:tcW w:type="dxa" w:w="3104"/>
            <w:tcMar>
              <w:top w:w="57" w:type="dxa"/>
              <w:left w:w="57" w:type="dxa"/>
              <w:bottom w:w="57" w:type="dxa"/>
              <w:right w:w="57" w:type="dxa"/>
            </w:tcMar>
          </w:tcPr>
          <w:p>
            <w:r>
              <w:rPr>
                <w:rFonts w:ascii="Arial" w:hAnsi="Arial" w:cs="Arial"/>
                <w:color w:val="000000"/>
                <w:sz w:val="20"/>
              </w:rPr>
              <w:t>1995</w:t>
            </w:r>
          </w:p>
        </w:tc>
      </w:tr>
      <w:tr>
        <w:trPr>
          <w:cantSplit w:val="true"/>
        </w:trPr>
        <w:tc>
          <w:tcPr>
            <w:tcW w:type="dxa" w:w="3104"/>
            <w:tcMar>
              <w:top w:w="57" w:type="dxa"/>
              <w:left w:w="57" w:type="dxa"/>
              <w:bottom w:w="57" w:type="dxa"/>
              <w:right w:w="57" w:type="dxa"/>
            </w:tcMar>
          </w:tcPr>
          <w:p>
            <w:r>
              <w:rPr>
                <w:rFonts w:ascii="Arial" w:hAnsi="Arial" w:cs="Arial"/>
                <w:color w:val="000000"/>
                <w:sz w:val="20"/>
              </w:rPr>
              <w:t>2</w:t>
            </w:r>
          </w:p>
        </w:tc>
        <w:tc>
          <w:tcPr>
            <w:tcW w:type="dxa" w:w="3104"/>
            <w:tcMar>
              <w:top w:w="57" w:type="dxa"/>
              <w:left w:w="57" w:type="dxa"/>
              <w:bottom w:w="57" w:type="dxa"/>
              <w:right w:w="57" w:type="dxa"/>
            </w:tcMar>
          </w:tcPr>
          <w:p>
            <w:r>
              <w:rPr>
                <w:rFonts w:ascii="Arial" w:hAnsi="Arial" w:cs="Arial"/>
                <w:color w:val="000000"/>
                <w:sz w:val="20"/>
              </w:rPr>
              <w:t>Control of Industrial Major Accident Hazards</w:t>
            </w:r>
          </w:p>
        </w:tc>
        <w:tc>
          <w:tcPr>
            <w:tcW w:type="dxa" w:w="3104"/>
            <w:tcMar>
              <w:top w:w="57" w:type="dxa"/>
              <w:left w:w="57" w:type="dxa"/>
              <w:bottom w:w="57" w:type="dxa"/>
              <w:right w:w="57" w:type="dxa"/>
            </w:tcMar>
          </w:tcPr>
          <w:p>
            <w:r>
              <w:rPr>
                <w:rFonts w:ascii="Arial" w:hAnsi="Arial" w:cs="Arial"/>
                <w:color w:val="000000"/>
                <w:sz w:val="20"/>
              </w:rPr>
              <w:t>1996</w:t>
            </w:r>
          </w:p>
        </w:tc>
      </w:tr>
      <w:tr>
        <w:trPr>
          <w:cantSplit w:val="true"/>
        </w:trPr>
        <w:tc>
          <w:tcPr>
            <w:tcW w:type="dxa" w:w="3104"/>
            <w:tcMar>
              <w:top w:w="57" w:type="dxa"/>
              <w:left w:w="57" w:type="dxa"/>
              <w:bottom w:w="57" w:type="dxa"/>
              <w:right w:w="57" w:type="dxa"/>
            </w:tcMar>
          </w:tcPr>
          <w:p>
            <w:r>
              <w:rPr>
                <w:rFonts w:ascii="Arial" w:hAnsi="Arial" w:cs="Arial"/>
                <w:color w:val="000000"/>
                <w:sz w:val="20"/>
              </w:rPr>
              <w:t>3</w:t>
            </w:r>
          </w:p>
        </w:tc>
        <w:tc>
          <w:tcPr>
            <w:tcW w:type="dxa" w:w="3104"/>
            <w:tcMar>
              <w:top w:w="57" w:type="dxa"/>
              <w:left w:w="57" w:type="dxa"/>
              <w:bottom w:w="57" w:type="dxa"/>
              <w:right w:w="57" w:type="dxa"/>
            </w:tcMar>
          </w:tcPr>
          <w:p>
            <w:r>
              <w:rPr>
                <w:rFonts w:ascii="Arial" w:hAnsi="Arial" w:cs="Arial"/>
                <w:color w:val="000000"/>
                <w:sz w:val="20"/>
              </w:rPr>
              <w:t>Safety and Health Committee</w:t>
            </w:r>
          </w:p>
        </w:tc>
        <w:tc>
          <w:tcPr>
            <w:tcW w:type="dxa" w:w="3104"/>
            <w:tcMar>
              <w:top w:w="57" w:type="dxa"/>
              <w:left w:w="57" w:type="dxa"/>
              <w:bottom w:w="57" w:type="dxa"/>
              <w:right w:w="57" w:type="dxa"/>
            </w:tcMar>
          </w:tcPr>
          <w:p>
            <w:r>
              <w:rPr>
                <w:rFonts w:ascii="Arial" w:hAnsi="Arial" w:cs="Arial"/>
                <w:color w:val="000000"/>
                <w:sz w:val="20"/>
              </w:rPr>
              <w:t>1996</w:t>
            </w:r>
          </w:p>
        </w:tc>
      </w:tr>
      <w:tr>
        <w:trPr>
          <w:cantSplit w:val="true"/>
        </w:trPr>
        <w:tc>
          <w:tcPr>
            <w:tcW w:type="dxa" w:w="3104"/>
            <w:tcMar>
              <w:top w:w="57" w:type="dxa"/>
              <w:left w:w="57" w:type="dxa"/>
              <w:bottom w:w="57" w:type="dxa"/>
              <w:right w:w="57" w:type="dxa"/>
            </w:tcMar>
          </w:tcPr>
          <w:p>
            <w:r>
              <w:rPr>
                <w:rFonts w:ascii="Arial" w:hAnsi="Arial" w:cs="Arial"/>
                <w:color w:val="000000"/>
                <w:sz w:val="20"/>
              </w:rPr>
              <w:t>4</w:t>
            </w:r>
          </w:p>
        </w:tc>
        <w:tc>
          <w:tcPr>
            <w:tcW w:type="dxa" w:w="3104"/>
            <w:tcMar>
              <w:top w:w="57" w:type="dxa"/>
              <w:left w:w="57" w:type="dxa"/>
              <w:bottom w:w="57" w:type="dxa"/>
              <w:right w:w="57" w:type="dxa"/>
            </w:tcMar>
          </w:tcPr>
          <w:p>
            <w:r>
              <w:rPr>
                <w:rFonts w:ascii="Arial" w:hAnsi="Arial" w:cs="Arial"/>
                <w:color w:val="000000"/>
                <w:sz w:val="20"/>
              </w:rPr>
              <w:t>Classification, Packaging, and Labelling of Hazardous Chemicals</w:t>
            </w:r>
          </w:p>
        </w:tc>
        <w:tc>
          <w:tcPr>
            <w:tcW w:type="dxa" w:w="3104"/>
            <w:tcMar>
              <w:top w:w="57" w:type="dxa"/>
              <w:left w:w="57" w:type="dxa"/>
              <w:bottom w:w="57" w:type="dxa"/>
              <w:right w:w="57" w:type="dxa"/>
            </w:tcMar>
          </w:tcPr>
          <w:p>
            <w:r>
              <w:rPr>
                <w:rFonts w:ascii="Arial" w:hAnsi="Arial" w:cs="Arial"/>
                <w:color w:val="000000"/>
                <w:sz w:val="20"/>
              </w:rPr>
              <w:t>1997</w:t>
            </w:r>
          </w:p>
        </w:tc>
      </w:tr>
      <w:tr>
        <w:trPr>
          <w:cantSplit w:val="true"/>
        </w:trPr>
        <w:tc>
          <w:tcPr>
            <w:tcW w:type="dxa" w:w="3104"/>
            <w:tcMar>
              <w:top w:w="57" w:type="dxa"/>
              <w:left w:w="57" w:type="dxa"/>
              <w:bottom w:w="57" w:type="dxa"/>
              <w:right w:w="57" w:type="dxa"/>
            </w:tcMar>
          </w:tcPr>
          <w:p>
            <w:r>
              <w:rPr>
                <w:rFonts w:ascii="Arial" w:hAnsi="Arial" w:cs="Arial"/>
                <w:color w:val="000000"/>
                <w:sz w:val="20"/>
              </w:rPr>
              <w:t>5</w:t>
            </w:r>
          </w:p>
        </w:tc>
        <w:tc>
          <w:tcPr>
            <w:tcW w:type="dxa" w:w="3104"/>
            <w:tcMar>
              <w:top w:w="57" w:type="dxa"/>
              <w:left w:w="57" w:type="dxa"/>
              <w:bottom w:w="57" w:type="dxa"/>
              <w:right w:w="57" w:type="dxa"/>
            </w:tcMar>
          </w:tcPr>
          <w:p>
            <w:r>
              <w:rPr>
                <w:rFonts w:ascii="Arial" w:hAnsi="Arial" w:cs="Arial"/>
                <w:color w:val="000000"/>
                <w:sz w:val="20"/>
              </w:rPr>
              <w:t>Safety and Health Officer</w:t>
            </w:r>
          </w:p>
        </w:tc>
        <w:tc>
          <w:tcPr>
            <w:tcW w:type="dxa" w:w="3104"/>
            <w:tcMar>
              <w:top w:w="57" w:type="dxa"/>
              <w:left w:w="57" w:type="dxa"/>
              <w:bottom w:w="57" w:type="dxa"/>
              <w:right w:w="57" w:type="dxa"/>
            </w:tcMar>
          </w:tcPr>
          <w:p>
            <w:r>
              <w:rPr>
                <w:rFonts w:ascii="Arial" w:hAnsi="Arial" w:cs="Arial"/>
                <w:color w:val="000000"/>
                <w:sz w:val="20"/>
              </w:rPr>
              <w:t>1997</w:t>
            </w:r>
          </w:p>
        </w:tc>
      </w:tr>
      <w:tr>
        <w:trPr>
          <w:cantSplit w:val="true"/>
        </w:trPr>
        <w:tc>
          <w:tcPr>
            <w:tcW w:type="dxa" w:w="3104"/>
            <w:tcMar>
              <w:top w:w="57" w:type="dxa"/>
              <w:left w:w="57" w:type="dxa"/>
              <w:bottom w:w="57" w:type="dxa"/>
              <w:right w:w="57" w:type="dxa"/>
            </w:tcMar>
          </w:tcPr>
          <w:p>
            <w:r>
              <w:rPr>
                <w:rFonts w:ascii="Arial" w:hAnsi="Arial" w:cs="Arial"/>
                <w:color w:val="000000"/>
                <w:sz w:val="20"/>
              </w:rPr>
              <w:t>6</w:t>
            </w:r>
          </w:p>
        </w:tc>
        <w:tc>
          <w:tcPr>
            <w:tcW w:type="dxa" w:w="3104"/>
            <w:tcMar>
              <w:top w:w="57" w:type="dxa"/>
              <w:left w:w="57" w:type="dxa"/>
              <w:bottom w:w="57" w:type="dxa"/>
              <w:right w:w="57" w:type="dxa"/>
            </w:tcMar>
          </w:tcPr>
          <w:p>
            <w:r>
              <w:rPr>
                <w:rFonts w:ascii="Arial" w:hAnsi="Arial" w:cs="Arial"/>
                <w:color w:val="000000"/>
                <w:sz w:val="20"/>
              </w:rPr>
              <w:t>Safety and Health Officer Order</w:t>
            </w:r>
          </w:p>
        </w:tc>
        <w:tc>
          <w:tcPr>
            <w:tcW w:type="dxa" w:w="3104"/>
            <w:tcMar>
              <w:top w:w="57" w:type="dxa"/>
              <w:left w:w="57" w:type="dxa"/>
              <w:bottom w:w="57" w:type="dxa"/>
              <w:right w:w="57" w:type="dxa"/>
            </w:tcMar>
          </w:tcPr>
          <w:p>
            <w:r>
              <w:rPr>
                <w:rFonts w:ascii="Arial" w:hAnsi="Arial" w:cs="Arial"/>
                <w:color w:val="000000"/>
                <w:sz w:val="20"/>
              </w:rPr>
              <w:t>1997</w:t>
            </w:r>
          </w:p>
        </w:tc>
      </w:tr>
      <w:tr>
        <w:trPr>
          <w:cantSplit w:val="true"/>
        </w:trPr>
        <w:tc>
          <w:tcPr>
            <w:tcW w:type="dxa" w:w="3104"/>
            <w:tcMar>
              <w:top w:w="57" w:type="dxa"/>
              <w:left w:w="57" w:type="dxa"/>
              <w:bottom w:w="57" w:type="dxa"/>
              <w:right w:w="57" w:type="dxa"/>
            </w:tcMar>
          </w:tcPr>
          <w:p>
            <w:r>
              <w:rPr>
                <w:rFonts w:ascii="Arial" w:hAnsi="Arial" w:cs="Arial"/>
                <w:color w:val="000000"/>
                <w:sz w:val="20"/>
              </w:rPr>
              <w:t>7</w:t>
            </w:r>
          </w:p>
        </w:tc>
        <w:tc>
          <w:tcPr>
            <w:tcW w:type="dxa" w:w="3104"/>
            <w:tcMar>
              <w:top w:w="57" w:type="dxa"/>
              <w:left w:w="57" w:type="dxa"/>
              <w:bottom w:w="57" w:type="dxa"/>
              <w:right w:w="57" w:type="dxa"/>
            </w:tcMar>
          </w:tcPr>
          <w:p>
            <w:r>
              <w:rPr>
                <w:rFonts w:ascii="Arial" w:hAnsi="Arial" w:cs="Arial"/>
                <w:color w:val="000000"/>
                <w:sz w:val="20"/>
              </w:rPr>
              <w:t>Prohibition of Use of Substance</w:t>
            </w:r>
          </w:p>
        </w:tc>
        <w:tc>
          <w:tcPr>
            <w:tcW w:type="dxa" w:w="3104"/>
            <w:tcMar>
              <w:top w:w="57" w:type="dxa"/>
              <w:left w:w="57" w:type="dxa"/>
              <w:bottom w:w="57" w:type="dxa"/>
              <w:right w:w="57" w:type="dxa"/>
            </w:tcMar>
          </w:tcPr>
          <w:p>
            <w:r>
              <w:rPr>
                <w:rFonts w:ascii="Arial" w:hAnsi="Arial" w:cs="Arial"/>
                <w:color w:val="000000"/>
                <w:sz w:val="20"/>
              </w:rPr>
              <w:t>1999</w:t>
            </w:r>
          </w:p>
        </w:tc>
      </w:tr>
      <w:tr>
        <w:trPr>
          <w:cantSplit w:val="true"/>
        </w:trPr>
        <w:tc>
          <w:tcPr>
            <w:tcW w:type="dxa" w:w="3104"/>
            <w:tcMar>
              <w:top w:w="57" w:type="dxa"/>
              <w:left w:w="57" w:type="dxa"/>
              <w:bottom w:w="57" w:type="dxa"/>
              <w:right w:w="57" w:type="dxa"/>
            </w:tcMar>
          </w:tcPr>
          <w:p>
            <w:r>
              <w:rPr>
                <w:rFonts w:ascii="Arial" w:hAnsi="Arial" w:cs="Arial"/>
                <w:color w:val="000000"/>
                <w:sz w:val="20"/>
              </w:rPr>
              <w:t>8</w:t>
            </w:r>
          </w:p>
        </w:tc>
        <w:tc>
          <w:tcPr>
            <w:tcW w:type="dxa" w:w="3104"/>
            <w:tcMar>
              <w:top w:w="57" w:type="dxa"/>
              <w:left w:w="57" w:type="dxa"/>
              <w:bottom w:w="57" w:type="dxa"/>
              <w:right w:w="57" w:type="dxa"/>
            </w:tcMar>
          </w:tcPr>
          <w:p>
            <w:r>
              <w:rPr>
                <w:rFonts w:ascii="Arial" w:hAnsi="Arial" w:cs="Arial"/>
                <w:color w:val="000000"/>
                <w:sz w:val="20"/>
              </w:rPr>
              <w:t>Use and Standards of Exposure of Chemicals Hazardous to Health</w:t>
            </w:r>
          </w:p>
        </w:tc>
        <w:tc>
          <w:tcPr>
            <w:tcW w:type="dxa" w:w="3104"/>
            <w:tcMar>
              <w:top w:w="57" w:type="dxa"/>
              <w:left w:w="57" w:type="dxa"/>
              <w:bottom w:w="57" w:type="dxa"/>
              <w:right w:w="57" w:type="dxa"/>
            </w:tcMar>
          </w:tcPr>
          <w:p>
            <w:r>
              <w:rPr>
                <w:rFonts w:ascii="Arial" w:hAnsi="Arial" w:cs="Arial"/>
                <w:color w:val="000000"/>
                <w:sz w:val="20"/>
              </w:rPr>
              <w:t>2000</w:t>
            </w:r>
          </w:p>
        </w:tc>
      </w:tr>
      <w:tr>
        <w:trPr>
          <w:cantSplit w:val="true"/>
        </w:trPr>
        <w:tc>
          <w:tcPr>
            <w:tcW w:type="dxa" w:w="3104"/>
            <w:tcMar>
              <w:top w:w="57" w:type="dxa"/>
              <w:left w:w="57" w:type="dxa"/>
              <w:bottom w:w="57" w:type="dxa"/>
              <w:right w:w="57" w:type="dxa"/>
            </w:tcMar>
          </w:tcPr>
          <w:p>
            <w:r>
              <w:rPr>
                <w:rFonts w:ascii="Arial" w:hAnsi="Arial" w:cs="Arial"/>
                <w:color w:val="000000"/>
                <w:sz w:val="20"/>
              </w:rPr>
              <w:t>9</w:t>
            </w:r>
          </w:p>
        </w:tc>
        <w:tc>
          <w:tcPr>
            <w:tcW w:type="dxa" w:w="3104"/>
            <w:tcMar>
              <w:top w:w="57" w:type="dxa"/>
              <w:left w:w="57" w:type="dxa"/>
              <w:bottom w:w="57" w:type="dxa"/>
              <w:right w:w="57" w:type="dxa"/>
            </w:tcMar>
          </w:tcPr>
          <w:p>
            <w:r>
              <w:rPr>
                <w:rFonts w:ascii="Arial" w:hAnsi="Arial" w:cs="Arial"/>
                <w:color w:val="000000"/>
                <w:sz w:val="20"/>
              </w:rPr>
              <w:t>Notification of Accident, Dangerous Occurrence, Occupational Poisoning and Occupational Disease</w:t>
            </w:r>
          </w:p>
        </w:tc>
        <w:tc>
          <w:tcPr>
            <w:tcW w:type="dxa" w:w="3104"/>
            <w:tcMar>
              <w:top w:w="57" w:type="dxa"/>
              <w:left w:w="57" w:type="dxa"/>
              <w:bottom w:w="57" w:type="dxa"/>
              <w:right w:w="57" w:type="dxa"/>
            </w:tcMar>
          </w:tcPr>
          <w:p>
            <w:r>
              <w:rPr>
                <w:rFonts w:ascii="Arial" w:hAnsi="Arial" w:cs="Arial"/>
                <w:color w:val="000000"/>
                <w:sz w:val="20"/>
              </w:rPr>
              <w:t>2004</w:t>
            </w:r>
          </w:p>
        </w:tc>
      </w:tr>
    </w:tbl>
    <w:p>
      <w:pPr>
        <w:spacing w:line="276" w:lineRule="auto" w:after="120"/>
        <w:jc w:val="left"/>
      </w:pPr>
      <w:r>
        <w:rPr>
          <w:rFonts w:ascii="Arial" w:hAnsi="Arial" w:cs="Arial"/>
          <w:b/>
          <w:color w:val="000000"/>
          <w:sz w:val="22"/>
        </w:rPr>
        <w:t>Jadual 2: Garis Panduan Yang Dibuat Di Bawah OSHA 1994</w:t>
      </w:r>
      <w:r>
        <w:rPr>
          <w:rFonts w:ascii="Arial" w:hAnsi="Arial" w:cs="Arial"/>
          <w:color w:val="000000"/>
          <w:sz w:val="22"/>
        </w:rPr>
        <w:t xml:space="preserve"> </w:t>
      </w:r>
      <w:r>
        <w:rPr>
          <w:rFonts w:ascii="Arial" w:hAnsi="Arial" w:cs="Arial"/>
          <w:i/>
          <w:color w:val="000000"/>
          <w:sz w:val="22"/>
        </w:rPr>
        <w:t>(Table 2: Guidelines made under OSHA 1994)</w:t>
      </w:r>
    </w:p>
    <w:tbl>
      <w:tblPr>
        <w:tblStyle w:val="TableGrid"/>
        <w:tblW w:type="auto" w:w="0"/>
        <w:tblLayout w:type="autofit"/>
        <w:tblLook w:firstColumn="1" w:firstRow="1" w:lastColumn="0" w:lastRow="0" w:noHBand="0" w:noVBand="1" w:val="04A0"/>
      </w:tblPr>
      <w:tblGrid>
        <w:gridCol w:w="4656"/>
        <w:gridCol w:w="4656"/>
      </w:tblGrid>
      <w:tr>
        <w:trPr>
          <w:tblHeader w:val="true"/>
          <w:cantSplit w:val="true"/>
        </w:trPr>
        <w:tc>
          <w:tcPr>
            <w:tcW w:type="dxa" w:w="4656"/>
            <w:tcMar>
              <w:top w:w="57" w:type="dxa"/>
              <w:left w:w="57" w:type="dxa"/>
              <w:bottom w:w="57" w:type="dxa"/>
              <w:right w:w="57" w:type="dxa"/>
            </w:tcMar>
            <w:shd w:val="clear" w:color="auto" w:fill="D9D9D9"/>
          </w:tcPr>
          <w:p>
            <w:r>
              <w:rPr>
                <w:rFonts w:ascii="Arial" w:hAnsi="Arial" w:cs="Arial"/>
                <w:b/>
                <w:color w:val="000000"/>
                <w:sz w:val="20"/>
              </w:rPr>
              <w:t>Garis Panduan</w:t>
            </w:r>
          </w:p>
        </w:tc>
        <w:tc>
          <w:tcPr>
            <w:tcW w:type="dxa" w:w="4656"/>
            <w:tcMar>
              <w:top w:w="57" w:type="dxa"/>
              <w:left w:w="57" w:type="dxa"/>
              <w:bottom w:w="57" w:type="dxa"/>
              <w:right w:w="57" w:type="dxa"/>
            </w:tcMar>
            <w:shd w:val="clear" w:color="auto" w:fill="D9D9D9"/>
          </w:tcPr>
          <w:p>
            <w:r>
              <w:rPr>
                <w:rFonts w:ascii="Arial" w:hAnsi="Arial" w:cs="Arial"/>
                <w:b/>
                <w:color w:val="000000"/>
                <w:sz w:val="20"/>
              </w:rPr>
              <w:t>Tahun</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 In Courier Services Industry</w:t>
            </w:r>
          </w:p>
        </w:tc>
        <w:tc>
          <w:tcPr>
            <w:tcW w:type="dxa" w:w="4656"/>
            <w:tcMar>
              <w:top w:w="57" w:type="dxa"/>
              <w:left w:w="57" w:type="dxa"/>
              <w:bottom w:w="57" w:type="dxa"/>
              <w:right w:w="57" w:type="dxa"/>
            </w:tcMar>
          </w:tcPr>
          <w:p>
            <w:r>
              <w:rPr>
                <w:rFonts w:ascii="Arial" w:hAnsi="Arial" w:cs="Arial"/>
                <w:color w:val="000000"/>
                <w:sz w:val="20"/>
              </w:rPr>
              <w:t>2015</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For The Protection Of Employees Against The Effects Of Haze At Workplaces</w:t>
            </w:r>
          </w:p>
        </w:tc>
        <w:tc>
          <w:tcPr>
            <w:tcW w:type="dxa" w:w="4656"/>
            <w:tcMar>
              <w:top w:w="57" w:type="dxa"/>
              <w:left w:w="57" w:type="dxa"/>
              <w:bottom w:w="57" w:type="dxa"/>
              <w:right w:w="57" w:type="dxa"/>
            </w:tcMar>
          </w:tcPr>
          <w:p>
            <w:r>
              <w:rPr>
                <w:rFonts w:ascii="Arial" w:hAnsi="Arial" w:cs="Arial"/>
                <w:color w:val="000000"/>
                <w:sz w:val="20"/>
              </w:rPr>
              <w:t>2013</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For Media Professionals</w:t>
            </w:r>
          </w:p>
        </w:tc>
        <w:tc>
          <w:tcPr>
            <w:tcW w:type="dxa" w:w="4656"/>
            <w:tcMar>
              <w:top w:w="57" w:type="dxa"/>
              <w:left w:w="57" w:type="dxa"/>
              <w:bottom w:w="57" w:type="dxa"/>
              <w:right w:w="57" w:type="dxa"/>
            </w:tcMar>
          </w:tcPr>
          <w:p>
            <w:r>
              <w:rPr>
                <w:rFonts w:ascii="Arial" w:hAnsi="Arial" w:cs="Arial"/>
                <w:color w:val="000000"/>
                <w:sz w:val="20"/>
              </w:rPr>
              <w:t>2012</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On Occupational Safety And Health Management Systems (OSHMS)</w:t>
            </w:r>
          </w:p>
        </w:tc>
        <w:tc>
          <w:tcPr>
            <w:tcW w:type="dxa" w:w="4656"/>
            <w:tcMar>
              <w:top w:w="57" w:type="dxa"/>
              <w:left w:w="57" w:type="dxa"/>
              <w:bottom w:w="57" w:type="dxa"/>
              <w:right w:w="57" w:type="dxa"/>
            </w:tcMar>
          </w:tcPr>
          <w:p>
            <w:r>
              <w:rPr>
                <w:rFonts w:ascii="Arial" w:hAnsi="Arial" w:cs="Arial"/>
                <w:color w:val="000000"/>
                <w:sz w:val="20"/>
              </w:rPr>
              <w:t>2011</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On Occupational Safety And Health Act 1994 (Act 514)</w:t>
            </w:r>
          </w:p>
        </w:tc>
        <w:tc>
          <w:tcPr>
            <w:tcW w:type="dxa" w:w="4656"/>
            <w:tcMar>
              <w:top w:w="57" w:type="dxa"/>
              <w:left w:w="57" w:type="dxa"/>
              <w:bottom w:w="57" w:type="dxa"/>
              <w:right w:w="57" w:type="dxa"/>
            </w:tcMar>
          </w:tcPr>
          <w:p>
            <w:r>
              <w:rPr>
                <w:rFonts w:ascii="Arial" w:hAnsi="Arial" w:cs="Arial"/>
                <w:color w:val="000000"/>
                <w:sz w:val="20"/>
              </w:rPr>
              <w:t>2006</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On Occupational Safety And Health (Notification Of Accident, Dangerous Occurrence, Occupational Poisoning &amp; Occupational Disease) Regulations 2004 (NADOPOD)</w:t>
            </w:r>
          </w:p>
        </w:tc>
        <w:tc>
          <w:tcPr>
            <w:tcW w:type="dxa" w:w="4656"/>
            <w:tcMar>
              <w:top w:w="57" w:type="dxa"/>
              <w:left w:w="57" w:type="dxa"/>
              <w:bottom w:w="57" w:type="dxa"/>
              <w:right w:w="57" w:type="dxa"/>
            </w:tcMar>
          </w:tcPr>
          <w:p>
            <w:r>
              <w:rPr>
                <w:rFonts w:ascii="Arial" w:hAnsi="Arial" w:cs="Arial"/>
                <w:color w:val="000000"/>
                <w:sz w:val="20"/>
              </w:rPr>
              <w:t>2005</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On Occupational Safety And Health In The Service Sector</w:t>
            </w:r>
          </w:p>
        </w:tc>
        <w:tc>
          <w:tcPr>
            <w:tcW w:type="dxa" w:w="4656"/>
            <w:tcMar>
              <w:top w:w="57" w:type="dxa"/>
              <w:left w:w="57" w:type="dxa"/>
              <w:bottom w:w="57" w:type="dxa"/>
              <w:right w:w="57" w:type="dxa"/>
            </w:tcMar>
          </w:tcPr>
          <w:p>
            <w:r>
              <w:rPr>
                <w:rFonts w:ascii="Arial" w:hAnsi="Arial" w:cs="Arial"/>
                <w:color w:val="000000"/>
                <w:sz w:val="20"/>
              </w:rPr>
              <w:t>2004</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On Gender Issues In Occupational Safety &amp; Health</w:t>
            </w:r>
          </w:p>
        </w:tc>
        <w:tc>
          <w:tcPr>
            <w:tcW w:type="dxa" w:w="4656"/>
            <w:tcMar>
              <w:top w:w="57" w:type="dxa"/>
              <w:left w:w="57" w:type="dxa"/>
              <w:bottom w:w="57" w:type="dxa"/>
              <w:right w:w="57" w:type="dxa"/>
            </w:tcMar>
          </w:tcPr>
          <w:p>
            <w:r>
              <w:rPr>
                <w:rFonts w:ascii="Arial" w:hAnsi="Arial" w:cs="Arial"/>
                <w:color w:val="000000"/>
                <w:sz w:val="20"/>
              </w:rPr>
              <w:t>2003</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On Occupational Safety And Health In The Office</w:t>
            </w:r>
          </w:p>
        </w:tc>
        <w:tc>
          <w:tcPr>
            <w:tcW w:type="dxa" w:w="4656"/>
            <w:tcMar>
              <w:top w:w="57" w:type="dxa"/>
              <w:left w:w="57" w:type="dxa"/>
              <w:bottom w:w="57" w:type="dxa"/>
              <w:right w:w="57" w:type="dxa"/>
            </w:tcMar>
          </w:tcPr>
          <w:p>
            <w:r>
              <w:rPr>
                <w:rFonts w:ascii="Arial" w:hAnsi="Arial" w:cs="Arial"/>
                <w:color w:val="000000"/>
                <w:sz w:val="20"/>
              </w:rPr>
              <w:t>1996</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On Occupational Vibration</w:t>
            </w:r>
          </w:p>
        </w:tc>
        <w:tc>
          <w:tcPr>
            <w:tcW w:type="dxa" w:w="4656"/>
            <w:tcMar>
              <w:top w:w="57" w:type="dxa"/>
              <w:left w:w="57" w:type="dxa"/>
              <w:bottom w:w="57" w:type="dxa"/>
              <w:right w:w="57" w:type="dxa"/>
            </w:tcMar>
          </w:tcPr>
          <w:p>
            <w:r>
              <w:rPr>
                <w:rFonts w:ascii="Arial" w:hAnsi="Arial" w:cs="Arial"/>
                <w:color w:val="000000"/>
                <w:sz w:val="20"/>
              </w:rPr>
              <w:t>2003</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On Occupational Safety And Health For Seating At Work</w:t>
            </w:r>
          </w:p>
        </w:tc>
        <w:tc>
          <w:tcPr>
            <w:tcW w:type="dxa" w:w="4656"/>
            <w:tcMar>
              <w:top w:w="57" w:type="dxa"/>
              <w:left w:w="57" w:type="dxa"/>
              <w:bottom w:w="57" w:type="dxa"/>
              <w:right w:w="57" w:type="dxa"/>
            </w:tcMar>
          </w:tcPr>
          <w:p>
            <w:r>
              <w:rPr>
                <w:rFonts w:ascii="Arial" w:hAnsi="Arial" w:cs="Arial"/>
                <w:color w:val="000000"/>
                <w:sz w:val="20"/>
              </w:rPr>
              <w:t>2003</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On Occupational Safety And Health For Working With Video Display Unit (VDU's)</w:t>
            </w:r>
          </w:p>
        </w:tc>
        <w:tc>
          <w:tcPr>
            <w:tcW w:type="dxa" w:w="4656"/>
            <w:tcMar>
              <w:top w:w="57" w:type="dxa"/>
              <w:left w:w="57" w:type="dxa"/>
              <w:bottom w:w="57" w:type="dxa"/>
              <w:right w:w="57" w:type="dxa"/>
            </w:tcMar>
          </w:tcPr>
          <w:p>
            <w:r>
              <w:rPr>
                <w:rFonts w:ascii="Arial" w:hAnsi="Arial" w:cs="Arial"/>
                <w:color w:val="000000"/>
                <w:sz w:val="20"/>
              </w:rPr>
              <w:t>2003</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On Occupational Safety And Health For Standing At Work</w:t>
            </w:r>
          </w:p>
        </w:tc>
        <w:tc>
          <w:tcPr>
            <w:tcW w:type="dxa" w:w="4656"/>
            <w:tcMar>
              <w:top w:w="57" w:type="dxa"/>
              <w:left w:w="57" w:type="dxa"/>
              <w:bottom w:w="57" w:type="dxa"/>
              <w:right w:w="57" w:type="dxa"/>
            </w:tcMar>
          </w:tcPr>
          <w:p>
            <w:r>
              <w:rPr>
                <w:rFonts w:ascii="Arial" w:hAnsi="Arial" w:cs="Arial"/>
                <w:color w:val="000000"/>
                <w:sz w:val="20"/>
              </w:rPr>
              <w:t>2002</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On Occupational Safety And Health In Logging Operations</w:t>
            </w:r>
          </w:p>
        </w:tc>
        <w:tc>
          <w:tcPr>
            <w:tcW w:type="dxa" w:w="4656"/>
            <w:tcMar>
              <w:top w:w="57" w:type="dxa"/>
              <w:left w:w="57" w:type="dxa"/>
              <w:bottom w:w="57" w:type="dxa"/>
              <w:right w:w="57" w:type="dxa"/>
            </w:tcMar>
          </w:tcPr>
          <w:p>
            <w:r>
              <w:rPr>
                <w:rFonts w:ascii="Arial" w:hAnsi="Arial" w:cs="Arial"/>
                <w:color w:val="000000"/>
                <w:sz w:val="20"/>
              </w:rPr>
              <w:t>2004</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On Occupational Safety And Health In Fishing And Aquaculture Operations</w:t>
            </w:r>
          </w:p>
        </w:tc>
        <w:tc>
          <w:tcPr>
            <w:tcW w:type="dxa" w:w="4656"/>
            <w:tcMar>
              <w:top w:w="57" w:type="dxa"/>
              <w:left w:w="57" w:type="dxa"/>
              <w:bottom w:w="57" w:type="dxa"/>
              <w:right w:w="57" w:type="dxa"/>
            </w:tcMar>
          </w:tcPr>
          <w:p>
            <w:r>
              <w:rPr>
                <w:rFonts w:ascii="Arial" w:hAnsi="Arial" w:cs="Arial"/>
                <w:color w:val="000000"/>
                <w:sz w:val="20"/>
              </w:rPr>
              <w:t>2003</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On Occupational Safety And Health In Agriculture</w:t>
            </w:r>
          </w:p>
        </w:tc>
        <w:tc>
          <w:tcPr>
            <w:tcW w:type="dxa" w:w="4656"/>
            <w:tcMar>
              <w:top w:w="57" w:type="dxa"/>
              <w:left w:w="57" w:type="dxa"/>
              <w:bottom w:w="57" w:type="dxa"/>
              <w:right w:w="57" w:type="dxa"/>
            </w:tcMar>
          </w:tcPr>
          <w:p>
            <w:r>
              <w:rPr>
                <w:rFonts w:ascii="Arial" w:hAnsi="Arial" w:cs="Arial"/>
                <w:color w:val="000000"/>
                <w:sz w:val="20"/>
              </w:rPr>
              <w:t>2002</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On Occupational Safety And Health In Agriculture (Mandarin Version)</w:t>
            </w:r>
          </w:p>
        </w:tc>
        <w:tc>
          <w:tcPr>
            <w:tcW w:type="dxa" w:w="4656"/>
            <w:tcMar>
              <w:top w:w="57" w:type="dxa"/>
              <w:left w:w="57" w:type="dxa"/>
              <w:bottom w:w="57" w:type="dxa"/>
              <w:right w:w="57" w:type="dxa"/>
            </w:tcMar>
          </w:tcPr>
          <w:p>
            <w:r>
              <w:rPr>
                <w:rFonts w:ascii="Arial" w:hAnsi="Arial" w:cs="Arial"/>
                <w:color w:val="000000"/>
                <w:sz w:val="20"/>
              </w:rPr>
              <w:t>2002</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On Occupational Safety And Health In Agriculture (Tamil Version)</w:t>
            </w:r>
          </w:p>
        </w:tc>
        <w:tc>
          <w:tcPr>
            <w:tcW w:type="dxa" w:w="4656"/>
            <w:tcMar>
              <w:top w:w="57" w:type="dxa"/>
              <w:left w:w="57" w:type="dxa"/>
              <w:bottom w:w="57" w:type="dxa"/>
              <w:right w:w="57" w:type="dxa"/>
            </w:tcMar>
          </w:tcPr>
          <w:p>
            <w:r>
              <w:rPr>
                <w:rFonts w:ascii="Arial" w:hAnsi="Arial" w:cs="Arial"/>
                <w:color w:val="000000"/>
                <w:sz w:val="20"/>
              </w:rPr>
              <w:t>2002</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On The Safety Management Of Amusement Park Devices</w:t>
            </w:r>
          </w:p>
        </w:tc>
        <w:tc>
          <w:tcPr>
            <w:tcW w:type="dxa" w:w="4656"/>
            <w:tcMar>
              <w:top w:w="57" w:type="dxa"/>
              <w:left w:w="57" w:type="dxa"/>
              <w:bottom w:w="57" w:type="dxa"/>
              <w:right w:w="57" w:type="dxa"/>
            </w:tcMar>
          </w:tcPr>
          <w:p>
            <w:r>
              <w:rPr>
                <w:rFonts w:ascii="Arial" w:hAnsi="Arial" w:cs="Arial"/>
                <w:color w:val="000000"/>
                <w:sz w:val="20"/>
              </w:rPr>
              <w:t>2008</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For Preparation Of Demonstration Of Safe Operation Document (General)</w:t>
            </w:r>
          </w:p>
        </w:tc>
        <w:tc>
          <w:tcPr>
            <w:tcW w:type="dxa" w:w="4656"/>
            <w:tcMar>
              <w:top w:w="57" w:type="dxa"/>
              <w:left w:w="57" w:type="dxa"/>
              <w:bottom w:w="57" w:type="dxa"/>
              <w:right w:w="57" w:type="dxa"/>
            </w:tcMar>
          </w:tcPr>
          <w:p>
            <w:r>
              <w:rPr>
                <w:rFonts w:ascii="Arial" w:hAnsi="Arial" w:cs="Arial"/>
                <w:color w:val="000000"/>
                <w:sz w:val="20"/>
              </w:rPr>
              <w:t>2001</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For Preparation Of Demonstration Of Safe Operation Document (Storage Of Liquified Petroleum Gas In Cylinder)</w:t>
            </w:r>
          </w:p>
        </w:tc>
        <w:tc>
          <w:tcPr>
            <w:tcW w:type="dxa" w:w="4656"/>
            <w:tcMar>
              <w:top w:w="57" w:type="dxa"/>
              <w:left w:w="57" w:type="dxa"/>
              <w:bottom w:w="57" w:type="dxa"/>
              <w:right w:w="57" w:type="dxa"/>
            </w:tcMar>
          </w:tcPr>
          <w:p>
            <w:r>
              <w:rPr>
                <w:rFonts w:ascii="Arial" w:hAnsi="Arial" w:cs="Arial"/>
                <w:color w:val="000000"/>
                <w:sz w:val="20"/>
              </w:rPr>
              <w:t>2001</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On Mercury Management In Oil And Gas Industry</w:t>
            </w:r>
          </w:p>
        </w:tc>
        <w:tc>
          <w:tcPr>
            <w:tcW w:type="dxa" w:w="4656"/>
            <w:tcMar>
              <w:top w:w="57" w:type="dxa"/>
              <w:left w:w="57" w:type="dxa"/>
              <w:bottom w:w="57" w:type="dxa"/>
              <w:right w:w="57" w:type="dxa"/>
            </w:tcMar>
          </w:tcPr>
          <w:p>
            <w:r>
              <w:rPr>
                <w:rFonts w:ascii="Arial" w:hAnsi="Arial" w:cs="Arial"/>
                <w:color w:val="000000"/>
                <w:sz w:val="20"/>
              </w:rPr>
              <w:t>2011</w:t>
            </w:r>
          </w:p>
        </w:tc>
      </w:tr>
      <w:tr>
        <w:trPr>
          <w:cantSplit w:val="true"/>
        </w:trPr>
        <w:tc>
          <w:tcPr>
            <w:tcW w:type="dxa" w:w="4656"/>
            <w:tcMar>
              <w:top w:w="57" w:type="dxa"/>
              <w:left w:w="57" w:type="dxa"/>
              <w:bottom w:w="57" w:type="dxa"/>
              <w:right w:w="57" w:type="dxa"/>
            </w:tcMar>
          </w:tcPr>
          <w:p>
            <w:r>
              <w:rPr>
                <w:rFonts w:ascii="Arial" w:hAnsi="Arial" w:cs="Arial"/>
                <w:color w:val="000000"/>
                <w:sz w:val="20"/>
              </w:rPr>
              <w:t>Panduan Bagi Menggunapakai Penaksiran Risiko Bahan Kimia Berbahaya Kepada Kesihatan (CHRA) Secara Generik</w:t>
            </w:r>
          </w:p>
        </w:tc>
        <w:tc>
          <w:tcPr>
            <w:tcW w:type="dxa" w:w="4656"/>
            <w:tcMar>
              <w:top w:w="57" w:type="dxa"/>
              <w:left w:w="57" w:type="dxa"/>
              <w:bottom w:w="57" w:type="dxa"/>
              <w:right w:w="57" w:type="dxa"/>
            </w:tcMar>
          </w:tcPr>
          <w:p>
            <w:r>
              <w:rPr>
                <w:rFonts w:ascii="Arial" w:hAnsi="Arial" w:cs="Arial"/>
                <w:color w:val="000000"/>
                <w:sz w:val="20"/>
              </w:rPr>
              <w:t>2006</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On Storage Of Hazardous Chemicals: A Guide For Safe Warehousing Of Packaged Hazardous Chemicals</w:t>
            </w:r>
          </w:p>
        </w:tc>
        <w:tc>
          <w:tcPr>
            <w:tcW w:type="dxa" w:w="4656"/>
            <w:tcMar>
              <w:top w:w="57" w:type="dxa"/>
              <w:left w:w="57" w:type="dxa"/>
              <w:bottom w:w="57" w:type="dxa"/>
              <w:right w:w="57" w:type="dxa"/>
            </w:tcMar>
          </w:tcPr>
          <w:p>
            <w:r>
              <w:rPr>
                <w:rFonts w:ascii="Arial" w:hAnsi="Arial" w:cs="Arial"/>
                <w:color w:val="000000"/>
                <w:sz w:val="20"/>
              </w:rPr>
              <w:t>2005</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On The Use Of Personal Protective Equipment Against Chemicals Hazards</w:t>
            </w:r>
          </w:p>
        </w:tc>
        <w:tc>
          <w:tcPr>
            <w:tcW w:type="dxa" w:w="4656"/>
            <w:tcMar>
              <w:top w:w="57" w:type="dxa"/>
              <w:left w:w="57" w:type="dxa"/>
              <w:bottom w:w="57" w:type="dxa"/>
              <w:right w:w="57" w:type="dxa"/>
            </w:tcMar>
          </w:tcPr>
          <w:p>
            <w:r>
              <w:rPr>
                <w:rFonts w:ascii="Arial" w:hAnsi="Arial" w:cs="Arial"/>
                <w:color w:val="000000"/>
                <w:sz w:val="20"/>
              </w:rPr>
              <w:t>2005</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On The Monitoring Of Airborne Contaminant For Chemicals Hazardous To Health</w:t>
            </w:r>
          </w:p>
        </w:tc>
        <w:tc>
          <w:tcPr>
            <w:tcW w:type="dxa" w:w="4656"/>
            <w:tcMar>
              <w:top w:w="57" w:type="dxa"/>
              <w:left w:w="57" w:type="dxa"/>
              <w:bottom w:w="57" w:type="dxa"/>
              <w:right w:w="57" w:type="dxa"/>
            </w:tcMar>
          </w:tcPr>
          <w:p>
            <w:r>
              <w:rPr>
                <w:rFonts w:ascii="Arial" w:hAnsi="Arial" w:cs="Arial"/>
                <w:color w:val="000000"/>
                <w:sz w:val="20"/>
              </w:rPr>
              <w:t>2002</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On The Control Of Chemicals Hazardous To Health</w:t>
            </w:r>
          </w:p>
        </w:tc>
        <w:tc>
          <w:tcPr>
            <w:tcW w:type="dxa" w:w="4656"/>
            <w:tcMar>
              <w:top w:w="57" w:type="dxa"/>
              <w:left w:w="57" w:type="dxa"/>
              <w:bottom w:w="57" w:type="dxa"/>
              <w:right w:w="57" w:type="dxa"/>
            </w:tcMar>
          </w:tcPr>
          <w:p>
            <w:r>
              <w:rPr>
                <w:rFonts w:ascii="Arial" w:hAnsi="Arial" w:cs="Arial"/>
                <w:color w:val="000000"/>
                <w:sz w:val="20"/>
              </w:rPr>
              <w:t>2001</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For The Preparation Of A Chemical Register</w:t>
            </w:r>
          </w:p>
        </w:tc>
        <w:tc>
          <w:tcPr>
            <w:tcW w:type="dxa" w:w="4656"/>
            <w:tcMar>
              <w:top w:w="57" w:type="dxa"/>
              <w:left w:w="57" w:type="dxa"/>
              <w:bottom w:w="57" w:type="dxa"/>
              <w:right w:w="57" w:type="dxa"/>
            </w:tcMar>
          </w:tcPr>
          <w:p>
            <w:r>
              <w:rPr>
                <w:rFonts w:ascii="Arial" w:hAnsi="Arial" w:cs="Arial"/>
                <w:color w:val="000000"/>
                <w:sz w:val="20"/>
              </w:rPr>
              <w:t>2000</w:t>
            </w:r>
          </w:p>
        </w:tc>
      </w:tr>
      <w:tr>
        <w:trPr>
          <w:cantSplit w:val="true"/>
        </w:trPr>
        <w:tc>
          <w:tcPr>
            <w:tcW w:type="dxa" w:w="4656"/>
            <w:tcMar>
              <w:top w:w="57" w:type="dxa"/>
              <w:left w:w="57" w:type="dxa"/>
              <w:bottom w:w="57" w:type="dxa"/>
              <w:right w:w="57" w:type="dxa"/>
            </w:tcMar>
          </w:tcPr>
          <w:p>
            <w:r>
              <w:rPr>
                <w:rFonts w:ascii="Arial" w:hAnsi="Arial" w:cs="Arial"/>
                <w:color w:val="000000"/>
                <w:sz w:val="20"/>
              </w:rPr>
              <w:t>Assessment Of The Health Risks Arising From The Use Of Hazardous Chemical In The Workplace (2nd Edition)</w:t>
            </w:r>
          </w:p>
        </w:tc>
        <w:tc>
          <w:tcPr>
            <w:tcW w:type="dxa" w:w="4656"/>
            <w:tcMar>
              <w:top w:w="57" w:type="dxa"/>
              <w:left w:w="57" w:type="dxa"/>
              <w:bottom w:w="57" w:type="dxa"/>
              <w:right w:w="57" w:type="dxa"/>
            </w:tcMar>
          </w:tcPr>
          <w:p>
            <w:r>
              <w:rPr>
                <w:rFonts w:ascii="Arial" w:hAnsi="Arial" w:cs="Arial"/>
                <w:color w:val="000000"/>
                <w:sz w:val="20"/>
              </w:rPr>
              <w:t>2000</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On Method Of Sampling And Analysis For Airborne Lead</w:t>
            </w:r>
          </w:p>
        </w:tc>
        <w:tc>
          <w:tcPr>
            <w:tcW w:type="dxa" w:w="4656"/>
            <w:tcMar>
              <w:top w:w="57" w:type="dxa"/>
              <w:left w:w="57" w:type="dxa"/>
              <w:bottom w:w="57" w:type="dxa"/>
              <w:right w:w="57" w:type="dxa"/>
            </w:tcMar>
          </w:tcPr>
          <w:p>
            <w:r>
              <w:rPr>
                <w:rFonts w:ascii="Arial" w:hAnsi="Arial" w:cs="Arial"/>
                <w:color w:val="000000"/>
                <w:sz w:val="20"/>
              </w:rPr>
              <w:t>1997</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For Control Of Occupational Noise</w:t>
            </w:r>
          </w:p>
        </w:tc>
        <w:tc>
          <w:tcPr>
            <w:tcW w:type="dxa" w:w="4656"/>
            <w:tcMar>
              <w:top w:w="57" w:type="dxa"/>
              <w:left w:w="57" w:type="dxa"/>
              <w:bottom w:w="57" w:type="dxa"/>
              <w:right w:w="57" w:type="dxa"/>
            </w:tcMar>
          </w:tcPr>
          <w:p>
            <w:r>
              <w:rPr>
                <w:rFonts w:ascii="Arial" w:hAnsi="Arial" w:cs="Arial"/>
                <w:color w:val="000000"/>
                <w:sz w:val="20"/>
              </w:rPr>
              <w:t>2005</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On Occupational Safety And Health For Design, Inspection, Testing And Examination Of Local Exhaust Ventilation System</w:t>
            </w:r>
          </w:p>
        </w:tc>
        <w:tc>
          <w:tcPr>
            <w:tcW w:type="dxa" w:w="4656"/>
            <w:tcMar>
              <w:top w:w="57" w:type="dxa"/>
              <w:left w:w="57" w:type="dxa"/>
              <w:bottom w:w="57" w:type="dxa"/>
              <w:right w:w="57" w:type="dxa"/>
            </w:tcMar>
          </w:tcPr>
          <w:p>
            <w:r>
              <w:rPr>
                <w:rFonts w:ascii="Arial" w:hAnsi="Arial" w:cs="Arial"/>
                <w:color w:val="000000"/>
                <w:sz w:val="20"/>
              </w:rPr>
              <w:t>2008</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For Hazard Identification, Risk Assessment And Risk Control (HIRARC)</w:t>
            </w:r>
          </w:p>
        </w:tc>
        <w:tc>
          <w:tcPr>
            <w:tcW w:type="dxa" w:w="4656"/>
            <w:tcMar>
              <w:top w:w="57" w:type="dxa"/>
              <w:left w:w="57" w:type="dxa"/>
              <w:bottom w:w="57" w:type="dxa"/>
              <w:right w:w="57" w:type="dxa"/>
            </w:tcMar>
          </w:tcPr>
          <w:p>
            <w:r>
              <w:rPr>
                <w:rFonts w:ascii="Arial" w:hAnsi="Arial" w:cs="Arial"/>
                <w:color w:val="000000"/>
                <w:sz w:val="20"/>
              </w:rPr>
              <w:t>2008</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On Occupational Health Services</w:t>
            </w:r>
          </w:p>
        </w:tc>
        <w:tc>
          <w:tcPr>
            <w:tcW w:type="dxa" w:w="4656"/>
            <w:tcMar>
              <w:top w:w="57" w:type="dxa"/>
              <w:left w:w="57" w:type="dxa"/>
              <w:bottom w:w="57" w:type="dxa"/>
              <w:right w:w="57" w:type="dxa"/>
            </w:tcMar>
          </w:tcPr>
          <w:p>
            <w:r>
              <w:rPr>
                <w:rFonts w:ascii="Arial" w:hAnsi="Arial" w:cs="Arial"/>
                <w:color w:val="000000"/>
                <w:sz w:val="20"/>
              </w:rPr>
              <w:t>2005</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On Preventing And Responding To Drugs And Alcohol Problems In The Workplace</w:t>
            </w:r>
          </w:p>
        </w:tc>
        <w:tc>
          <w:tcPr>
            <w:tcW w:type="dxa" w:w="4656"/>
            <w:tcMar>
              <w:top w:w="57" w:type="dxa"/>
              <w:left w:w="57" w:type="dxa"/>
              <w:bottom w:w="57" w:type="dxa"/>
              <w:right w:w="57" w:type="dxa"/>
            </w:tcMar>
          </w:tcPr>
          <w:p>
            <w:r>
              <w:rPr>
                <w:rFonts w:ascii="Arial" w:hAnsi="Arial" w:cs="Arial"/>
                <w:color w:val="000000"/>
                <w:sz w:val="20"/>
              </w:rPr>
              <w:t>2004</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On First Aid In The Workplace (2nd Edition)</w:t>
            </w:r>
          </w:p>
        </w:tc>
        <w:tc>
          <w:tcPr>
            <w:tcW w:type="dxa" w:w="4656"/>
            <w:tcMar>
              <w:top w:w="57" w:type="dxa"/>
              <w:left w:w="57" w:type="dxa"/>
              <w:bottom w:w="57" w:type="dxa"/>
              <w:right w:w="57" w:type="dxa"/>
            </w:tcMar>
          </w:tcPr>
          <w:p>
            <w:r>
              <w:rPr>
                <w:rFonts w:ascii="Arial" w:hAnsi="Arial" w:cs="Arial"/>
                <w:color w:val="000000"/>
                <w:sz w:val="20"/>
              </w:rPr>
              <w:t>2004</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On Reproductive Health Policy &amp; Programmes At The Workplace</w:t>
            </w:r>
          </w:p>
        </w:tc>
        <w:tc>
          <w:tcPr>
            <w:tcW w:type="dxa" w:w="4656"/>
            <w:tcMar>
              <w:top w:w="57" w:type="dxa"/>
              <w:left w:w="57" w:type="dxa"/>
              <w:bottom w:w="57" w:type="dxa"/>
              <w:right w:w="57" w:type="dxa"/>
            </w:tcMar>
          </w:tcPr>
          <w:p>
            <w:r>
              <w:rPr>
                <w:rFonts w:ascii="Arial" w:hAnsi="Arial" w:cs="Arial"/>
                <w:color w:val="000000"/>
                <w:sz w:val="20"/>
              </w:rPr>
              <w:t>2002</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On Medical Surveillance</w:t>
            </w:r>
          </w:p>
        </w:tc>
        <w:tc>
          <w:tcPr>
            <w:tcW w:type="dxa" w:w="4656"/>
            <w:tcMar>
              <w:top w:w="57" w:type="dxa"/>
              <w:left w:w="57" w:type="dxa"/>
              <w:bottom w:w="57" w:type="dxa"/>
              <w:right w:w="57" w:type="dxa"/>
            </w:tcMar>
          </w:tcPr>
          <w:p>
            <w:r>
              <w:rPr>
                <w:rFonts w:ascii="Arial" w:hAnsi="Arial" w:cs="Arial"/>
                <w:color w:val="000000"/>
                <w:sz w:val="20"/>
              </w:rPr>
              <w:t>2001</w:t>
            </w:r>
          </w:p>
        </w:tc>
      </w:tr>
      <w:tr>
        <w:trPr>
          <w:cantSplit w:val="true"/>
        </w:trPr>
        <w:tc>
          <w:tcPr>
            <w:tcW w:type="dxa" w:w="4656"/>
            <w:tcMar>
              <w:top w:w="57" w:type="dxa"/>
              <w:left w:w="57" w:type="dxa"/>
              <w:bottom w:w="57" w:type="dxa"/>
              <w:right w:w="57" w:type="dxa"/>
            </w:tcMar>
          </w:tcPr>
          <w:p>
            <w:r>
              <w:rPr>
                <w:rFonts w:ascii="Arial" w:hAnsi="Arial" w:cs="Arial"/>
                <w:color w:val="000000"/>
                <w:sz w:val="20"/>
              </w:rPr>
              <w:t>Guidance For The Prevention Of Stress And Violence At The Workplace</w:t>
            </w:r>
          </w:p>
        </w:tc>
        <w:tc>
          <w:tcPr>
            <w:tcW w:type="dxa" w:w="4656"/>
            <w:tcMar>
              <w:top w:w="57" w:type="dxa"/>
              <w:left w:w="57" w:type="dxa"/>
              <w:bottom w:w="57" w:type="dxa"/>
              <w:right w:w="57" w:type="dxa"/>
            </w:tcMar>
          </w:tcPr>
          <w:p>
            <w:r>
              <w:rPr>
                <w:rFonts w:ascii="Arial" w:hAnsi="Arial" w:cs="Arial"/>
                <w:color w:val="000000"/>
                <w:sz w:val="20"/>
              </w:rPr>
              <w:t>2001</w:t>
            </w:r>
          </w:p>
        </w:tc>
      </w:tr>
      <w:tr>
        <w:trPr>
          <w:cantSplit w:val="true"/>
        </w:trPr>
        <w:tc>
          <w:tcPr>
            <w:tcW w:type="dxa" w:w="4656"/>
            <w:tcMar>
              <w:top w:w="57" w:type="dxa"/>
              <w:left w:w="57" w:type="dxa"/>
              <w:bottom w:w="57" w:type="dxa"/>
              <w:right w:w="57" w:type="dxa"/>
            </w:tcMar>
          </w:tcPr>
          <w:p>
            <w:r>
              <w:rPr>
                <w:rFonts w:ascii="Arial" w:hAnsi="Arial" w:cs="Arial"/>
                <w:color w:val="000000"/>
                <w:sz w:val="20"/>
              </w:rPr>
              <w:t>Garis Panduan Sistem Mata Bagi Program Pendidikan Berterusan</w:t>
            </w:r>
          </w:p>
        </w:tc>
        <w:tc>
          <w:tcPr>
            <w:tcW w:type="dxa" w:w="4656"/>
            <w:tcMar>
              <w:top w:w="57" w:type="dxa"/>
              <w:left w:w="57" w:type="dxa"/>
              <w:bottom w:w="57" w:type="dxa"/>
              <w:right w:w="57" w:type="dxa"/>
            </w:tcMar>
          </w:tcPr>
          <w:p>
            <w:r>
              <w:rPr>
                <w:rFonts w:ascii="Arial" w:hAnsi="Arial" w:cs="Arial"/>
                <w:color w:val="000000"/>
                <w:sz w:val="20"/>
              </w:rPr>
              <w:t>2012</w:t>
            </w:r>
          </w:p>
        </w:tc>
      </w:tr>
      <w:tr>
        <w:trPr>
          <w:cantSplit w:val="true"/>
        </w:trPr>
        <w:tc>
          <w:tcPr>
            <w:tcW w:type="dxa" w:w="4656"/>
            <w:tcMar>
              <w:top w:w="57" w:type="dxa"/>
              <w:left w:w="57" w:type="dxa"/>
              <w:bottom w:w="57" w:type="dxa"/>
              <w:right w:w="57" w:type="dxa"/>
            </w:tcMar>
          </w:tcPr>
          <w:p>
            <w:r>
              <w:rPr>
                <w:rFonts w:ascii="Arial" w:hAnsi="Arial" w:cs="Arial"/>
                <w:color w:val="000000"/>
                <w:sz w:val="20"/>
              </w:rPr>
              <w:t>Garis Panduan Pendaftaran Pusat Pengajar Penyelia Keselamatan Tapak Bina</w:t>
            </w:r>
          </w:p>
        </w:tc>
        <w:tc>
          <w:tcPr>
            <w:tcW w:type="dxa" w:w="4656"/>
            <w:tcMar>
              <w:top w:w="57" w:type="dxa"/>
              <w:left w:w="57" w:type="dxa"/>
              <w:bottom w:w="57" w:type="dxa"/>
              <w:right w:w="57" w:type="dxa"/>
            </w:tcMar>
          </w:tcPr>
          <w:p>
            <w:r>
              <w:rPr>
                <w:rFonts w:ascii="Arial" w:hAnsi="Arial" w:cs="Arial"/>
                <w:color w:val="000000"/>
                <w:sz w:val="20"/>
              </w:rPr>
              <w:t>2011</w:t>
            </w:r>
          </w:p>
        </w:tc>
      </w:tr>
      <w:tr>
        <w:trPr>
          <w:cantSplit w:val="true"/>
        </w:trPr>
        <w:tc>
          <w:tcPr>
            <w:tcW w:type="dxa" w:w="4656"/>
            <w:tcMar>
              <w:top w:w="57" w:type="dxa"/>
              <w:left w:w="57" w:type="dxa"/>
              <w:bottom w:w="57" w:type="dxa"/>
              <w:right w:w="57" w:type="dxa"/>
            </w:tcMar>
          </w:tcPr>
          <w:p>
            <w:r>
              <w:rPr>
                <w:rFonts w:ascii="Arial" w:hAnsi="Arial" w:cs="Arial"/>
                <w:color w:val="000000"/>
                <w:sz w:val="20"/>
              </w:rPr>
              <w:t>Garis Panduan Latihan Pekerja, Pendaftaran Pusat Pengajar Dan Pengendalian Kursus Keselamatan Dan Kesihatan Pekerjaan Di Ruang Terkurung</w:t>
            </w:r>
          </w:p>
        </w:tc>
        <w:tc>
          <w:tcPr>
            <w:tcW w:type="dxa" w:w="4656"/>
            <w:tcMar>
              <w:top w:w="57" w:type="dxa"/>
              <w:left w:w="57" w:type="dxa"/>
              <w:bottom w:w="57" w:type="dxa"/>
              <w:right w:w="57" w:type="dxa"/>
            </w:tcMar>
          </w:tcPr>
          <w:p>
            <w:r>
              <w:rPr>
                <w:rFonts w:ascii="Arial" w:hAnsi="Arial" w:cs="Arial"/>
                <w:color w:val="000000"/>
                <w:sz w:val="20"/>
              </w:rPr>
              <w:t>2008</w:t>
            </w:r>
          </w:p>
        </w:tc>
      </w:tr>
      <w:tr>
        <w:trPr>
          <w:cantSplit w:val="true"/>
        </w:trPr>
        <w:tc>
          <w:tcPr>
            <w:tcW w:type="dxa" w:w="4656"/>
            <w:tcMar>
              <w:top w:w="57" w:type="dxa"/>
              <w:left w:w="57" w:type="dxa"/>
              <w:bottom w:w="57" w:type="dxa"/>
              <w:right w:w="57" w:type="dxa"/>
            </w:tcMar>
          </w:tcPr>
          <w:p>
            <w:r>
              <w:rPr>
                <w:rFonts w:ascii="Arial" w:hAnsi="Arial" w:cs="Arial"/>
                <w:color w:val="000000"/>
                <w:sz w:val="20"/>
              </w:rPr>
              <w:t>Garis Panduan Pengiktirafan Sebagai Pusat Pengajar Kursus Operator Kren</w:t>
            </w:r>
          </w:p>
        </w:tc>
        <w:tc>
          <w:tcPr>
            <w:tcW w:type="dxa" w:w="4656"/>
            <w:tcMar>
              <w:top w:w="57" w:type="dxa"/>
              <w:left w:w="57" w:type="dxa"/>
              <w:bottom w:w="57" w:type="dxa"/>
              <w:right w:w="57" w:type="dxa"/>
            </w:tcMar>
          </w:tcPr>
          <w:p>
            <w:r>
              <w:rPr>
                <w:rFonts w:ascii="Arial" w:hAnsi="Arial" w:cs="Arial"/>
                <w:color w:val="000000"/>
                <w:sz w:val="20"/>
              </w:rPr>
              <w:t>2004</w:t>
            </w:r>
          </w:p>
        </w:tc>
      </w:tr>
      <w:tr>
        <w:trPr>
          <w:cantSplit w:val="true"/>
        </w:trPr>
        <w:tc>
          <w:tcPr>
            <w:tcW w:type="dxa" w:w="4656"/>
            <w:tcMar>
              <w:top w:w="57" w:type="dxa"/>
              <w:left w:w="57" w:type="dxa"/>
              <w:bottom w:w="57" w:type="dxa"/>
              <w:right w:w="57" w:type="dxa"/>
            </w:tcMar>
          </w:tcPr>
          <w:p>
            <w:r>
              <w:rPr>
                <w:rFonts w:ascii="Arial" w:hAnsi="Arial" w:cs="Arial"/>
                <w:color w:val="000000"/>
                <w:sz w:val="20"/>
              </w:rPr>
              <w:t>Garis Panduan Untuk Permohonan Pengiktirafan Sebagai Pusat Pengajar Pengendali Perancah</w:t>
            </w:r>
          </w:p>
        </w:tc>
        <w:tc>
          <w:tcPr>
            <w:tcW w:type="dxa" w:w="4656"/>
            <w:tcMar>
              <w:top w:w="57" w:type="dxa"/>
              <w:left w:w="57" w:type="dxa"/>
              <w:bottom w:w="57" w:type="dxa"/>
              <w:right w:w="57" w:type="dxa"/>
            </w:tcMar>
          </w:tcPr>
          <w:p>
            <w:r>
              <w:rPr>
                <w:rFonts w:ascii="Arial" w:hAnsi="Arial" w:cs="Arial"/>
                <w:color w:val="000000"/>
                <w:sz w:val="20"/>
              </w:rPr>
              <w:t>2003</w:t>
            </w:r>
          </w:p>
        </w:tc>
      </w:tr>
      <w:tr>
        <w:trPr>
          <w:cantSplit w:val="true"/>
        </w:trPr>
        <w:tc>
          <w:tcPr>
            <w:tcW w:type="dxa" w:w="4656"/>
            <w:tcMar>
              <w:top w:w="57" w:type="dxa"/>
              <w:left w:w="57" w:type="dxa"/>
              <w:bottom w:w="57" w:type="dxa"/>
              <w:right w:w="57" w:type="dxa"/>
            </w:tcMar>
          </w:tcPr>
          <w:p>
            <w:r>
              <w:rPr>
                <w:rFonts w:ascii="Arial" w:hAnsi="Arial" w:cs="Arial"/>
                <w:color w:val="000000"/>
                <w:sz w:val="20"/>
              </w:rPr>
              <w:t>Garis Panduan Untuk Memohon Sebagai Pusat Pengajar Pegawai Keselamatan Dan Kesihatan</w:t>
            </w:r>
          </w:p>
        </w:tc>
        <w:tc>
          <w:tcPr>
            <w:tcW w:type="dxa" w:w="4656"/>
            <w:tcMar>
              <w:top w:w="57" w:type="dxa"/>
              <w:left w:w="57" w:type="dxa"/>
              <w:bottom w:w="57" w:type="dxa"/>
              <w:right w:w="57" w:type="dxa"/>
            </w:tcMar>
          </w:tcPr>
          <w:p>
            <w:r>
              <w:rPr>
                <w:rFonts w:ascii="Arial" w:hAnsi="Arial" w:cs="Arial"/>
                <w:color w:val="000000"/>
                <w:sz w:val="20"/>
              </w:rPr>
              <w:t>2003</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For The Registration Of Assessors, Hygiene Technician And Occupational Health Doctor</w:t>
            </w:r>
          </w:p>
        </w:tc>
        <w:tc>
          <w:tcPr>
            <w:tcW w:type="dxa" w:w="4656"/>
            <w:tcMar>
              <w:top w:w="57" w:type="dxa"/>
              <w:left w:w="57" w:type="dxa"/>
              <w:bottom w:w="57" w:type="dxa"/>
              <w:right w:w="57" w:type="dxa"/>
            </w:tcMar>
          </w:tcPr>
          <w:p>
            <w:r>
              <w:rPr>
                <w:rFonts w:ascii="Arial" w:hAnsi="Arial" w:cs="Arial"/>
                <w:color w:val="000000"/>
                <w:sz w:val="20"/>
              </w:rPr>
              <w:t>2000</w:t>
            </w:r>
          </w:p>
        </w:tc>
      </w:tr>
      <w:tr>
        <w:trPr>
          <w:cantSplit w:val="true"/>
        </w:trPr>
        <w:tc>
          <w:tcPr>
            <w:tcW w:type="dxa" w:w="4656"/>
            <w:tcMar>
              <w:top w:w="57" w:type="dxa"/>
              <w:left w:w="57" w:type="dxa"/>
              <w:bottom w:w="57" w:type="dxa"/>
              <w:right w:w="57" w:type="dxa"/>
            </w:tcMar>
          </w:tcPr>
          <w:p>
            <w:r>
              <w:rPr>
                <w:rFonts w:ascii="Arial" w:hAnsi="Arial" w:cs="Arial"/>
                <w:color w:val="000000"/>
                <w:sz w:val="20"/>
              </w:rPr>
              <w:t>Examination Syllabus For Engineer's Certification Of Competency (Steam And Internal Combustion Engines) Examination</w:t>
            </w:r>
          </w:p>
        </w:tc>
        <w:tc>
          <w:tcPr>
            <w:tcW w:type="dxa" w:w="4656"/>
            <w:tcMar>
              <w:top w:w="57" w:type="dxa"/>
              <w:left w:w="57" w:type="dxa"/>
              <w:bottom w:w="57" w:type="dxa"/>
              <w:right w:w="57" w:type="dxa"/>
            </w:tcMar>
          </w:tcPr>
          <w:p>
            <w:r>
              <w:rPr>
                <w:rFonts w:ascii="Arial" w:hAnsi="Arial" w:cs="Arial"/>
                <w:color w:val="000000"/>
                <w:sz w:val="20"/>
              </w:rPr>
              <w:t>1996</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For Public Safety And Health At Construction Sites</w:t>
            </w:r>
          </w:p>
        </w:tc>
        <w:tc>
          <w:tcPr>
            <w:tcW w:type="dxa" w:w="4656"/>
            <w:tcMar>
              <w:top w:w="57" w:type="dxa"/>
              <w:left w:w="57" w:type="dxa"/>
              <w:bottom w:w="57" w:type="dxa"/>
              <w:right w:w="57" w:type="dxa"/>
            </w:tcMar>
          </w:tcPr>
          <w:p>
            <w:r>
              <w:rPr>
                <w:rFonts w:ascii="Arial" w:hAnsi="Arial" w:cs="Arial"/>
                <w:color w:val="000000"/>
                <w:sz w:val="20"/>
              </w:rPr>
              <w:t>2007</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For The Prevention Of Falls At Workplaces</w:t>
            </w:r>
          </w:p>
        </w:tc>
        <w:tc>
          <w:tcPr>
            <w:tcW w:type="dxa" w:w="4656"/>
            <w:tcMar>
              <w:top w:w="57" w:type="dxa"/>
              <w:left w:w="57" w:type="dxa"/>
              <w:bottom w:w="57" w:type="dxa"/>
              <w:right w:w="57" w:type="dxa"/>
            </w:tcMar>
          </w:tcPr>
          <w:p>
            <w:r>
              <w:rPr>
                <w:rFonts w:ascii="Arial" w:hAnsi="Arial" w:cs="Arial"/>
                <w:color w:val="000000"/>
                <w:sz w:val="20"/>
              </w:rPr>
              <w:t>2007</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On Trenching For Construction Safety</w:t>
            </w:r>
          </w:p>
        </w:tc>
        <w:tc>
          <w:tcPr>
            <w:tcW w:type="dxa" w:w="4656"/>
            <w:tcMar>
              <w:top w:w="57" w:type="dxa"/>
              <w:left w:w="57" w:type="dxa"/>
              <w:bottom w:w="57" w:type="dxa"/>
              <w:right w:w="57" w:type="dxa"/>
            </w:tcMar>
          </w:tcPr>
          <w:p>
            <w:r>
              <w:rPr>
                <w:rFonts w:ascii="Arial" w:hAnsi="Arial" w:cs="Arial"/>
                <w:color w:val="000000"/>
                <w:sz w:val="20"/>
              </w:rPr>
              <w:t>2000</w:t>
            </w:r>
          </w:p>
        </w:tc>
      </w:tr>
      <w:tr>
        <w:trPr>
          <w:cantSplit w:val="true"/>
        </w:trPr>
        <w:tc>
          <w:tcPr>
            <w:tcW w:type="dxa" w:w="4656"/>
            <w:tcMar>
              <w:top w:w="57" w:type="dxa"/>
              <w:left w:w="57" w:type="dxa"/>
              <w:bottom w:w="57" w:type="dxa"/>
              <w:right w:w="57" w:type="dxa"/>
            </w:tcMar>
          </w:tcPr>
          <w:p>
            <w:r>
              <w:rPr>
                <w:rFonts w:ascii="Arial" w:hAnsi="Arial" w:cs="Arial"/>
                <w:color w:val="000000"/>
                <w:sz w:val="20"/>
              </w:rPr>
              <w:t>Guidelines On Occupational Safety And Health In Tunnel Construction</w:t>
            </w:r>
          </w:p>
        </w:tc>
        <w:tc>
          <w:tcPr>
            <w:tcW w:type="dxa" w:w="4656"/>
            <w:tcMar>
              <w:top w:w="57" w:type="dxa"/>
              <w:left w:w="57" w:type="dxa"/>
              <w:bottom w:w="57" w:type="dxa"/>
              <w:right w:w="57" w:type="dxa"/>
            </w:tcMar>
          </w:tcPr>
          <w:p>
            <w:r>
              <w:rPr>
                <w:rFonts w:ascii="Arial" w:hAnsi="Arial" w:cs="Arial"/>
                <w:color w:val="000000"/>
                <w:sz w:val="20"/>
              </w:rPr>
              <w:t>1998</w:t>
            </w:r>
          </w:p>
        </w:tc>
      </w:tr>
    </w:tbl>
    <w:p>
      <w:pPr>
        <w:spacing w:line="276" w:lineRule="auto" w:after="120"/>
        <w:jc w:val="left"/>
      </w:pPr>
      <w:r>
        <w:rPr>
          <w:rFonts w:ascii="Arial" w:hAnsi="Arial" w:cs="Arial"/>
          <w:b/>
          <w:color w:val="000000"/>
          <w:sz w:val="22"/>
        </w:rPr>
        <w:t>Jadual 3: Kod Amalan Yang Dibuat Di Bawah OSHA 1994</w:t>
      </w:r>
      <w:r>
        <w:rPr>
          <w:rFonts w:ascii="Arial" w:hAnsi="Arial" w:cs="Arial"/>
          <w:color w:val="000000"/>
          <w:sz w:val="22"/>
        </w:rPr>
        <w:t xml:space="preserve"> </w:t>
      </w:r>
      <w:r>
        <w:rPr>
          <w:rFonts w:ascii="Arial" w:hAnsi="Arial" w:cs="Arial"/>
          <w:i/>
          <w:color w:val="000000"/>
          <w:sz w:val="22"/>
        </w:rPr>
        <w:t>(Table 3: Code of Practices made under OSHA 1994)</w:t>
      </w:r>
    </w:p>
    <w:tbl>
      <w:tblPr>
        <w:tblStyle w:val="TableGrid"/>
        <w:tblW w:type="auto" w:w="0"/>
        <w:tblLayout w:type="autofit"/>
        <w:tblLook w:firstColumn="1" w:firstRow="1" w:lastColumn="0" w:lastRow="0" w:noHBand="0" w:noVBand="1" w:val="04A0"/>
      </w:tblPr>
      <w:tblGrid>
        <w:gridCol w:w="3104"/>
        <w:gridCol w:w="3104"/>
        <w:gridCol w:w="3104"/>
      </w:tblGrid>
      <w:tr>
        <w:trPr>
          <w:tblHeader w:val="true"/>
          <w:cantSplit w:val="true"/>
        </w:trPr>
        <w:tc>
          <w:tcPr>
            <w:tcW w:type="dxa" w:w="3104"/>
            <w:tcMar>
              <w:top w:w="57" w:type="dxa"/>
              <w:left w:w="57" w:type="dxa"/>
              <w:bottom w:w="57" w:type="dxa"/>
              <w:right w:w="57" w:type="dxa"/>
            </w:tcMar>
            <w:shd w:val="clear" w:color="auto" w:fill="D9D9D9"/>
          </w:tcPr>
          <w:p>
            <w:r>
              <w:rPr>
                <w:rFonts w:ascii="Arial" w:hAnsi="Arial" w:cs="Arial"/>
                <w:b/>
                <w:color w:val="000000"/>
                <w:sz w:val="20"/>
              </w:rPr>
              <w:t>Bil</w:t>
            </w:r>
          </w:p>
        </w:tc>
        <w:tc>
          <w:tcPr>
            <w:tcW w:type="dxa" w:w="3104"/>
            <w:tcMar>
              <w:top w:w="57" w:type="dxa"/>
              <w:left w:w="57" w:type="dxa"/>
              <w:bottom w:w="57" w:type="dxa"/>
              <w:right w:w="57" w:type="dxa"/>
            </w:tcMar>
            <w:shd w:val="clear" w:color="auto" w:fill="D9D9D9"/>
          </w:tcPr>
          <w:p>
            <w:r>
              <w:rPr>
                <w:rFonts w:ascii="Arial" w:hAnsi="Arial" w:cs="Arial"/>
                <w:b/>
                <w:color w:val="000000"/>
                <w:sz w:val="20"/>
              </w:rPr>
              <w:t>ICOP</w:t>
            </w:r>
          </w:p>
        </w:tc>
        <w:tc>
          <w:tcPr>
            <w:tcW w:type="dxa" w:w="3104"/>
            <w:tcMar>
              <w:top w:w="57" w:type="dxa"/>
              <w:left w:w="57" w:type="dxa"/>
              <w:bottom w:w="57" w:type="dxa"/>
              <w:right w:w="57" w:type="dxa"/>
            </w:tcMar>
            <w:shd w:val="clear" w:color="auto" w:fill="D9D9D9"/>
          </w:tcPr>
          <w:p>
            <w:r>
              <w:rPr>
                <w:rFonts w:ascii="Arial" w:hAnsi="Arial" w:cs="Arial"/>
                <w:b/>
                <w:color w:val="000000"/>
                <w:sz w:val="20"/>
              </w:rPr>
              <w:t>Tahun</w:t>
            </w:r>
          </w:p>
        </w:tc>
      </w:tr>
      <w:tr>
        <w:trPr>
          <w:cantSplit w:val="true"/>
        </w:trPr>
        <w:tc>
          <w:tcPr>
            <w:tcW w:type="dxa" w:w="3104"/>
            <w:tcMar>
              <w:top w:w="57" w:type="dxa"/>
              <w:left w:w="57" w:type="dxa"/>
              <w:bottom w:w="57" w:type="dxa"/>
              <w:right w:w="57" w:type="dxa"/>
            </w:tcMar>
          </w:tcPr>
          <w:p>
            <w:r>
              <w:rPr>
                <w:rFonts w:ascii="Arial" w:hAnsi="Arial" w:cs="Arial"/>
                <w:color w:val="000000"/>
                <w:sz w:val="20"/>
              </w:rPr>
              <w:t>1</w:t>
            </w:r>
          </w:p>
        </w:tc>
        <w:tc>
          <w:tcPr>
            <w:tcW w:type="dxa" w:w="3104"/>
            <w:tcMar>
              <w:top w:w="57" w:type="dxa"/>
              <w:left w:w="57" w:type="dxa"/>
              <w:bottom w:w="57" w:type="dxa"/>
              <w:right w:w="57" w:type="dxa"/>
            </w:tcMar>
          </w:tcPr>
          <w:p>
            <w:r>
              <w:rPr>
                <w:rFonts w:ascii="Arial" w:hAnsi="Arial" w:cs="Arial"/>
                <w:color w:val="000000"/>
                <w:sz w:val="20"/>
              </w:rPr>
              <w:t>Approved Code Of Practice On HIV/AIDS In Workplace</w:t>
            </w:r>
          </w:p>
        </w:tc>
        <w:tc>
          <w:tcPr>
            <w:tcW w:type="dxa" w:w="3104"/>
            <w:tcMar>
              <w:top w:w="57" w:type="dxa"/>
              <w:left w:w="57" w:type="dxa"/>
              <w:bottom w:w="57" w:type="dxa"/>
              <w:right w:w="57" w:type="dxa"/>
            </w:tcMar>
          </w:tcPr>
          <w:p>
            <w:r>
              <w:rPr>
                <w:rFonts w:ascii="Arial" w:hAnsi="Arial" w:cs="Arial"/>
                <w:color w:val="000000"/>
                <w:sz w:val="20"/>
              </w:rPr>
              <w:t>2001</w:t>
            </w:r>
          </w:p>
        </w:tc>
      </w:tr>
      <w:tr>
        <w:trPr>
          <w:cantSplit w:val="true"/>
        </w:trPr>
        <w:tc>
          <w:tcPr>
            <w:tcW w:type="dxa" w:w="3104"/>
            <w:tcMar>
              <w:top w:w="57" w:type="dxa"/>
              <w:left w:w="57" w:type="dxa"/>
              <w:bottom w:w="57" w:type="dxa"/>
              <w:right w:w="57" w:type="dxa"/>
            </w:tcMar>
          </w:tcPr>
          <w:p>
            <w:r>
              <w:rPr>
                <w:rFonts w:ascii="Arial" w:hAnsi="Arial" w:cs="Arial"/>
                <w:color w:val="000000"/>
                <w:sz w:val="20"/>
              </w:rPr>
              <w:t>2</w:t>
            </w:r>
          </w:p>
        </w:tc>
        <w:tc>
          <w:tcPr>
            <w:tcW w:type="dxa" w:w="3104"/>
            <w:tcMar>
              <w:top w:w="57" w:type="dxa"/>
              <w:left w:w="57" w:type="dxa"/>
              <w:bottom w:w="57" w:type="dxa"/>
              <w:right w:w="57" w:type="dxa"/>
            </w:tcMar>
          </w:tcPr>
          <w:p>
            <w:r>
              <w:rPr>
                <w:rFonts w:ascii="Arial" w:hAnsi="Arial" w:cs="Arial"/>
                <w:color w:val="000000"/>
                <w:sz w:val="20"/>
              </w:rPr>
              <w:t>Code Of Practice On Prevention And Management Of HIV/AIDS At The Workplace</w:t>
            </w:r>
          </w:p>
        </w:tc>
        <w:tc>
          <w:tcPr>
            <w:tcW w:type="dxa" w:w="3104"/>
            <w:tcMar>
              <w:top w:w="57" w:type="dxa"/>
              <w:left w:w="57" w:type="dxa"/>
              <w:bottom w:w="57" w:type="dxa"/>
              <w:right w:w="57" w:type="dxa"/>
            </w:tcMar>
          </w:tcPr>
          <w:p>
            <w:r>
              <w:rPr>
                <w:rFonts w:ascii="Arial" w:hAnsi="Arial" w:cs="Arial"/>
                <w:color w:val="000000"/>
                <w:sz w:val="20"/>
              </w:rPr>
              <w:t>2001</w:t>
            </w:r>
          </w:p>
        </w:tc>
      </w:tr>
      <w:tr>
        <w:trPr>
          <w:cantSplit w:val="true"/>
        </w:trPr>
        <w:tc>
          <w:tcPr>
            <w:tcW w:type="dxa" w:w="3104"/>
            <w:tcMar>
              <w:top w:w="57" w:type="dxa"/>
              <w:left w:w="57" w:type="dxa"/>
              <w:bottom w:w="57" w:type="dxa"/>
              <w:right w:w="57" w:type="dxa"/>
            </w:tcMar>
          </w:tcPr>
          <w:p>
            <w:r>
              <w:rPr>
                <w:rFonts w:ascii="Arial" w:hAnsi="Arial" w:cs="Arial"/>
                <w:color w:val="000000"/>
                <w:sz w:val="20"/>
              </w:rPr>
              <w:t>3</w:t>
            </w:r>
          </w:p>
        </w:tc>
        <w:tc>
          <w:tcPr>
            <w:tcW w:type="dxa" w:w="3104"/>
            <w:tcMar>
              <w:top w:w="57" w:type="dxa"/>
              <w:left w:w="57" w:type="dxa"/>
              <w:bottom w:w="57" w:type="dxa"/>
              <w:right w:w="57" w:type="dxa"/>
            </w:tcMar>
          </w:tcPr>
          <w:p>
            <w:r>
              <w:rPr>
                <w:rFonts w:ascii="Arial" w:hAnsi="Arial" w:cs="Arial"/>
                <w:color w:val="000000"/>
                <w:sz w:val="20"/>
              </w:rPr>
              <w:t>Industry Code Of Practice On Chemicals Classification And Hazard Communication</w:t>
            </w:r>
          </w:p>
        </w:tc>
        <w:tc>
          <w:tcPr>
            <w:tcW w:type="dxa" w:w="3104"/>
            <w:tcMar>
              <w:top w:w="57" w:type="dxa"/>
              <w:left w:w="57" w:type="dxa"/>
              <w:bottom w:w="57" w:type="dxa"/>
              <w:right w:w="57" w:type="dxa"/>
            </w:tcMar>
          </w:tcPr>
          <w:p>
            <w:r>
              <w:rPr>
                <w:rFonts w:ascii="Arial" w:hAnsi="Arial" w:cs="Arial"/>
                <w:color w:val="000000"/>
                <w:sz w:val="20"/>
              </w:rPr>
              <w:t>2014</w:t>
            </w:r>
          </w:p>
        </w:tc>
      </w:tr>
      <w:tr>
        <w:trPr>
          <w:cantSplit w:val="true"/>
        </w:trPr>
        <w:tc>
          <w:tcPr>
            <w:tcW w:type="dxa" w:w="3104"/>
            <w:tcMar>
              <w:top w:w="57" w:type="dxa"/>
              <w:left w:w="57" w:type="dxa"/>
              <w:bottom w:w="57" w:type="dxa"/>
              <w:right w:w="57" w:type="dxa"/>
            </w:tcMar>
          </w:tcPr>
          <w:p>
            <w:r>
              <w:rPr>
                <w:rFonts w:ascii="Arial" w:hAnsi="Arial" w:cs="Arial"/>
                <w:color w:val="000000"/>
                <w:sz w:val="20"/>
              </w:rPr>
              <w:t>4</w:t>
            </w:r>
          </w:p>
        </w:tc>
        <w:tc>
          <w:tcPr>
            <w:tcW w:type="dxa" w:w="3104"/>
            <w:tcMar>
              <w:top w:w="57" w:type="dxa"/>
              <w:left w:w="57" w:type="dxa"/>
              <w:bottom w:w="57" w:type="dxa"/>
              <w:right w:w="57" w:type="dxa"/>
            </w:tcMar>
          </w:tcPr>
          <w:p>
            <w:r>
              <w:rPr>
                <w:rFonts w:ascii="Arial" w:hAnsi="Arial" w:cs="Arial"/>
                <w:color w:val="000000"/>
                <w:sz w:val="20"/>
              </w:rPr>
              <w:t>Industry Code Of Practice On Indoor Air Quality</w:t>
            </w:r>
          </w:p>
        </w:tc>
        <w:tc>
          <w:tcPr>
            <w:tcW w:type="dxa" w:w="3104"/>
            <w:tcMar>
              <w:top w:w="57" w:type="dxa"/>
              <w:left w:w="57" w:type="dxa"/>
              <w:bottom w:w="57" w:type="dxa"/>
              <w:right w:w="57" w:type="dxa"/>
            </w:tcMar>
          </w:tcPr>
          <w:p>
            <w:r>
              <w:rPr>
                <w:rFonts w:ascii="Arial" w:hAnsi="Arial" w:cs="Arial"/>
                <w:color w:val="000000"/>
                <w:sz w:val="20"/>
              </w:rPr>
              <w:t>2010</w:t>
            </w:r>
          </w:p>
        </w:tc>
      </w:tr>
      <w:tr>
        <w:trPr>
          <w:cantSplit w:val="true"/>
        </w:trPr>
        <w:tc>
          <w:tcPr>
            <w:tcW w:type="dxa" w:w="3104"/>
            <w:tcMar>
              <w:top w:w="57" w:type="dxa"/>
              <w:left w:w="57" w:type="dxa"/>
              <w:bottom w:w="57" w:type="dxa"/>
              <w:right w:w="57" w:type="dxa"/>
            </w:tcMar>
          </w:tcPr>
          <w:p>
            <w:r>
              <w:rPr>
                <w:rFonts w:ascii="Arial" w:hAnsi="Arial" w:cs="Arial"/>
                <w:color w:val="000000"/>
                <w:sz w:val="20"/>
              </w:rPr>
              <w:t>5</w:t>
            </w:r>
          </w:p>
        </w:tc>
        <w:tc>
          <w:tcPr>
            <w:tcW w:type="dxa" w:w="3104"/>
            <w:tcMar>
              <w:top w:w="57" w:type="dxa"/>
              <w:left w:w="57" w:type="dxa"/>
              <w:bottom w:w="57" w:type="dxa"/>
              <w:right w:w="57" w:type="dxa"/>
            </w:tcMar>
          </w:tcPr>
          <w:p>
            <w:r>
              <w:rPr>
                <w:rFonts w:ascii="Arial" w:hAnsi="Arial" w:cs="Arial"/>
                <w:color w:val="000000"/>
                <w:sz w:val="20"/>
              </w:rPr>
              <w:t>Code Of Practice For Road Transport Activities</w:t>
            </w:r>
          </w:p>
        </w:tc>
        <w:tc>
          <w:tcPr>
            <w:tcW w:type="dxa" w:w="3104"/>
            <w:tcMar>
              <w:top w:w="57" w:type="dxa"/>
              <w:left w:w="57" w:type="dxa"/>
              <w:bottom w:w="57" w:type="dxa"/>
              <w:right w:w="57" w:type="dxa"/>
            </w:tcMar>
          </w:tcPr>
          <w:p>
            <w:r>
              <w:rPr>
                <w:rFonts w:ascii="Arial" w:hAnsi="Arial" w:cs="Arial"/>
                <w:color w:val="000000"/>
                <w:sz w:val="20"/>
              </w:rPr>
              <w:t>2010</w:t>
            </w:r>
          </w:p>
        </w:tc>
      </w:tr>
      <w:tr>
        <w:trPr>
          <w:cantSplit w:val="true"/>
        </w:trPr>
        <w:tc>
          <w:tcPr>
            <w:tcW w:type="dxa" w:w="3104"/>
            <w:tcMar>
              <w:top w:w="57" w:type="dxa"/>
              <w:left w:w="57" w:type="dxa"/>
              <w:bottom w:w="57" w:type="dxa"/>
              <w:right w:w="57" w:type="dxa"/>
            </w:tcMar>
          </w:tcPr>
          <w:p>
            <w:r>
              <w:rPr>
                <w:rFonts w:ascii="Arial" w:hAnsi="Arial" w:cs="Arial"/>
                <w:color w:val="000000"/>
                <w:sz w:val="20"/>
              </w:rPr>
              <w:t>6</w:t>
            </w:r>
          </w:p>
        </w:tc>
        <w:tc>
          <w:tcPr>
            <w:tcW w:type="dxa" w:w="3104"/>
            <w:tcMar>
              <w:top w:w="57" w:type="dxa"/>
              <w:left w:w="57" w:type="dxa"/>
              <w:bottom w:w="57" w:type="dxa"/>
              <w:right w:w="57" w:type="dxa"/>
            </w:tcMar>
          </w:tcPr>
          <w:p>
            <w:r>
              <w:rPr>
                <w:rFonts w:ascii="Arial" w:hAnsi="Arial" w:cs="Arial"/>
                <w:color w:val="000000"/>
                <w:sz w:val="20"/>
              </w:rPr>
              <w:t>Code Of Practice On Safety, Health And Environment For Transportation Sector (She Code)</w:t>
            </w:r>
          </w:p>
        </w:tc>
        <w:tc>
          <w:tcPr>
            <w:tcW w:type="dxa" w:w="3104"/>
            <w:tcMar>
              <w:top w:w="57" w:type="dxa"/>
              <w:left w:w="57" w:type="dxa"/>
              <w:bottom w:w="57" w:type="dxa"/>
              <w:right w:w="57" w:type="dxa"/>
            </w:tcMar>
          </w:tcPr>
          <w:p>
            <w:r>
              <w:rPr>
                <w:rFonts w:ascii="Arial" w:hAnsi="Arial" w:cs="Arial"/>
                <w:color w:val="000000"/>
                <w:sz w:val="20"/>
              </w:rPr>
              <w:t>2007</w:t>
            </w:r>
          </w:p>
        </w:tc>
      </w:tr>
      <w:tr>
        <w:trPr>
          <w:cantSplit w:val="true"/>
        </w:trPr>
        <w:tc>
          <w:tcPr>
            <w:tcW w:type="dxa" w:w="3104"/>
            <w:tcMar>
              <w:top w:w="57" w:type="dxa"/>
              <w:left w:w="57" w:type="dxa"/>
              <w:bottom w:w="57" w:type="dxa"/>
              <w:right w:w="57" w:type="dxa"/>
            </w:tcMar>
          </w:tcPr>
          <w:p>
            <w:r>
              <w:rPr>
                <w:rFonts w:ascii="Arial" w:hAnsi="Arial" w:cs="Arial"/>
                <w:color w:val="000000"/>
                <w:sz w:val="20"/>
              </w:rPr>
              <w:t>7</w:t>
            </w:r>
          </w:p>
        </w:tc>
        <w:tc>
          <w:tcPr>
            <w:tcW w:type="dxa" w:w="3104"/>
            <w:tcMar>
              <w:top w:w="57" w:type="dxa"/>
              <w:left w:w="57" w:type="dxa"/>
              <w:bottom w:w="57" w:type="dxa"/>
              <w:right w:w="57" w:type="dxa"/>
            </w:tcMar>
          </w:tcPr>
          <w:p>
            <w:r>
              <w:rPr>
                <w:rFonts w:ascii="Arial" w:hAnsi="Arial" w:cs="Arial"/>
                <w:color w:val="000000"/>
                <w:sz w:val="20"/>
              </w:rPr>
              <w:t>Code Of Practice On Prevention And Eradication Of Drug, Alcohol And Substance Abuse In The Workplace</w:t>
            </w:r>
          </w:p>
        </w:tc>
        <w:tc>
          <w:tcPr>
            <w:tcW w:type="dxa" w:w="3104"/>
            <w:tcMar>
              <w:top w:w="57" w:type="dxa"/>
              <w:left w:w="57" w:type="dxa"/>
              <w:bottom w:w="57" w:type="dxa"/>
              <w:right w:w="57" w:type="dxa"/>
            </w:tcMar>
          </w:tcPr>
          <w:p>
            <w:r>
              <w:rPr>
                <w:rFonts w:ascii="Arial" w:hAnsi="Arial" w:cs="Arial"/>
                <w:color w:val="000000"/>
                <w:sz w:val="20"/>
              </w:rPr>
              <w:t>2005</w:t>
            </w:r>
          </w:p>
        </w:tc>
      </w:tr>
      <w:tr>
        <w:trPr>
          <w:cantSplit w:val="true"/>
        </w:trPr>
        <w:tc>
          <w:tcPr>
            <w:tcW w:type="dxa" w:w="3104"/>
            <w:tcMar>
              <w:top w:w="57" w:type="dxa"/>
              <w:left w:w="57" w:type="dxa"/>
              <w:bottom w:w="57" w:type="dxa"/>
              <w:right w:w="57" w:type="dxa"/>
            </w:tcMar>
          </w:tcPr>
          <w:p>
            <w:r>
              <w:rPr>
                <w:rFonts w:ascii="Arial" w:hAnsi="Arial" w:cs="Arial"/>
                <w:color w:val="000000"/>
                <w:sz w:val="20"/>
              </w:rPr>
              <w:t>8</w:t>
            </w:r>
          </w:p>
        </w:tc>
        <w:tc>
          <w:tcPr>
            <w:tcW w:type="dxa" w:w="3104"/>
            <w:tcMar>
              <w:top w:w="57" w:type="dxa"/>
              <w:left w:w="57" w:type="dxa"/>
              <w:bottom w:w="57" w:type="dxa"/>
              <w:right w:w="57" w:type="dxa"/>
            </w:tcMar>
          </w:tcPr>
          <w:p>
            <w:r>
              <w:rPr>
                <w:rFonts w:ascii="Arial" w:hAnsi="Arial" w:cs="Arial"/>
                <w:color w:val="000000"/>
                <w:sz w:val="20"/>
              </w:rPr>
              <w:t>Code Of Practice On Prevention And Management Of HIV/AIDS At The Workplace</w:t>
            </w:r>
          </w:p>
        </w:tc>
        <w:tc>
          <w:tcPr>
            <w:tcW w:type="dxa" w:w="3104"/>
            <w:tcMar>
              <w:top w:w="57" w:type="dxa"/>
              <w:left w:w="57" w:type="dxa"/>
              <w:bottom w:w="57" w:type="dxa"/>
              <w:right w:w="57" w:type="dxa"/>
            </w:tcMar>
          </w:tcPr>
          <w:p>
            <w:r>
              <w:rPr>
                <w:rFonts w:ascii="Arial" w:hAnsi="Arial" w:cs="Arial"/>
                <w:color w:val="000000"/>
                <w:sz w:val="20"/>
              </w:rPr>
              <w:t>2001</w:t>
            </w:r>
          </w:p>
        </w:tc>
      </w:tr>
      <w:tr>
        <w:trPr>
          <w:cantSplit w:val="true"/>
        </w:trPr>
        <w:tc>
          <w:tcPr>
            <w:tcW w:type="dxa" w:w="3104"/>
            <w:tcMar>
              <w:top w:w="57" w:type="dxa"/>
              <w:left w:w="57" w:type="dxa"/>
              <w:bottom w:w="57" w:type="dxa"/>
              <w:right w:w="57" w:type="dxa"/>
            </w:tcMar>
          </w:tcPr>
          <w:p>
            <w:r>
              <w:rPr>
                <w:rFonts w:ascii="Arial" w:hAnsi="Arial" w:cs="Arial"/>
                <w:color w:val="000000"/>
                <w:sz w:val="20"/>
              </w:rPr>
              <w:t>9</w:t>
            </w:r>
          </w:p>
        </w:tc>
        <w:tc>
          <w:tcPr>
            <w:tcW w:type="dxa" w:w="3104"/>
            <w:tcMar>
              <w:top w:w="57" w:type="dxa"/>
              <w:left w:w="57" w:type="dxa"/>
              <w:bottom w:w="57" w:type="dxa"/>
              <w:right w:w="57" w:type="dxa"/>
            </w:tcMar>
          </w:tcPr>
          <w:p>
            <w:r>
              <w:rPr>
                <w:rFonts w:ascii="Arial" w:hAnsi="Arial" w:cs="Arial"/>
                <w:color w:val="000000"/>
                <w:sz w:val="20"/>
              </w:rPr>
              <w:t>Industry Code Of Practice For Safe Working In A Confined Space</w:t>
            </w:r>
          </w:p>
        </w:tc>
        <w:tc>
          <w:tcPr>
            <w:tcW w:type="dxa" w:w="3104"/>
            <w:tcMar>
              <w:top w:w="57" w:type="dxa"/>
              <w:left w:w="57" w:type="dxa"/>
              <w:bottom w:w="57" w:type="dxa"/>
              <w:right w:w="57" w:type="dxa"/>
            </w:tcMar>
          </w:tcPr>
          <w:p>
            <w:r>
              <w:rPr>
                <w:rFonts w:ascii="Arial" w:hAnsi="Arial" w:cs="Arial"/>
                <w:color w:val="000000"/>
                <w:sz w:val="20"/>
              </w:rPr>
              <w:t>2010</w:t>
            </w:r>
          </w:p>
        </w:tc>
      </w:tr>
    </w:tbl>
    <w:p>
      <w:pPr>
        <w:pStyle w:val="Heading2"/>
        <w:spacing w:line="276" w:lineRule="auto" w:after="120"/>
        <w:jc w:val="left"/>
      </w:pPr>
      <w:r>
        <w:rPr>
          <w:rFonts w:ascii="Arial" w:hAnsi="Arial" w:cs="Arial"/>
          <w:color w:val="000000"/>
          <w:sz w:val="22"/>
        </w:rPr>
        <w:t xml:space="preserve">2. Factories And Machinery Act 1967 </w:t>
      </w:r>
      <w:r>
        <w:rPr>
          <w:rFonts w:ascii="Arial" w:hAnsi="Arial" w:cs="Arial"/>
          <w:i/>
          <w:color w:val="000000"/>
          <w:sz w:val="22"/>
        </w:rPr>
        <w:t>(Akta Kilang Dan Jentera 1967)</w:t>
      </w:r>
    </w:p>
    <w:p>
      <w:pPr>
        <w:spacing w:line="276" w:lineRule="auto" w:after="120"/>
        <w:jc w:val="left"/>
      </w:pPr>
      <w:r>
        <w:rPr>
          <w:rFonts w:ascii="Arial" w:hAnsi="Arial" w:cs="Arial"/>
          <w:b/>
          <w:color w:val="000000"/>
          <w:sz w:val="22"/>
        </w:rPr>
        <w:t>PART I — PRELIMINARY</w:t>
      </w:r>
      <w:r>
        <w:rPr>
          <w:rFonts w:ascii="Arial" w:hAnsi="Arial" w:cs="Arial"/>
          <w:color w:val="000000"/>
          <w:sz w:val="22"/>
        </w:rPr>
        <w:t xml:space="preserve"> 1. Short title 2. Interpretation of "factory" 3. Interpretation: general 4. Appointment of officers 5. Supervision of officers 6. Officers are public servants 7. Powers of an Inspector 8. Obstruction an offence 9. Persons not to reveal secrets</w:t>
      </w:r>
    </w:p>
    <w:p>
      <w:pPr>
        <w:spacing w:line="276" w:lineRule="auto" w:after="120"/>
        <w:jc w:val="left"/>
      </w:pPr>
      <w:r>
        <w:rPr>
          <w:rFonts w:ascii="Arial" w:hAnsi="Arial" w:cs="Arial"/>
          <w:b/>
          <w:color w:val="000000"/>
          <w:sz w:val="22"/>
        </w:rPr>
        <w:t>PART II — SAFETY, HEALTH AND WELFARE</w:t>
      </w:r>
      <w:r>
        <w:rPr>
          <w:rFonts w:ascii="Arial" w:hAnsi="Arial" w:cs="Arial"/>
          <w:color w:val="000000"/>
          <w:sz w:val="22"/>
        </w:rPr>
        <w:t xml:space="preserve"> 10. Provisions relating to safety, etc. 11. Persons exposed to explosive, inflammable, etc., substances 12. Lifting of weights 13. Provisions against fire 14. Construction of machinery 15. Dangerous parts of machinery 16. Projecting material 17. Machinery for hire or sale must comply with regulations 18. Machinery manufactured or repaired must comply with regulations 19. Certificate of fitness 20. Duties of persons employed 21. Duties of occupier 22. Provisions relating to health 23. Exposure to elements 24. Personal protective clothing and appliances 25. Provisions relating to welfare</w:t>
      </w:r>
    </w:p>
    <w:p>
      <w:pPr>
        <w:spacing w:line="276" w:lineRule="auto" w:after="120"/>
        <w:jc w:val="left"/>
      </w:pPr>
      <w:r>
        <w:rPr>
          <w:rFonts w:ascii="Arial" w:hAnsi="Arial" w:cs="Arial"/>
          <w:b/>
          <w:color w:val="000000"/>
          <w:sz w:val="22"/>
        </w:rPr>
        <w:t>PART III — PERSON IN CHARGE AND CERTIFICATES OF COMPETENCY</w:t>
      </w:r>
      <w:r>
        <w:rPr>
          <w:rFonts w:ascii="Arial" w:hAnsi="Arial" w:cs="Arial"/>
          <w:color w:val="000000"/>
          <w:sz w:val="22"/>
        </w:rPr>
        <w:t xml:space="preserve"> 26. Training and supervision of inexperienced workers 27. Chief Inspector may make orders in circumstances 28. Young persons 29. Certain machinery not to be operated without certificated staff 30. Panel of Examiners and Board of Appeal</w:t>
      </w:r>
    </w:p>
    <w:p>
      <w:pPr>
        <w:spacing w:line="276" w:lineRule="auto" w:after="120"/>
        <w:jc w:val="left"/>
      </w:pPr>
      <w:r>
        <w:rPr>
          <w:rFonts w:ascii="Arial" w:hAnsi="Arial" w:cs="Arial"/>
          <w:b/>
          <w:color w:val="000000"/>
          <w:sz w:val="22"/>
        </w:rPr>
        <w:t>PART IV — NOTIFICATION OF ACCIDENT, DANGEROUS OCCURENCE AND DANGEROUS DISEASES</w:t>
      </w:r>
      <w:r>
        <w:rPr>
          <w:rFonts w:ascii="Arial" w:hAnsi="Arial" w:cs="Arial"/>
          <w:color w:val="000000"/>
          <w:sz w:val="22"/>
        </w:rPr>
        <w:t xml:space="preserve"> 31. Accidents and dangerous occurrence to be reported 32. Notification of industrial diseases 33. Investigation and enquiries</w:t>
      </w:r>
    </w:p>
    <w:p>
      <w:pPr>
        <w:spacing w:line="276" w:lineRule="auto" w:after="120"/>
        <w:jc w:val="left"/>
      </w:pPr>
      <w:r>
        <w:rPr>
          <w:rFonts w:ascii="Arial" w:hAnsi="Arial" w:cs="Arial"/>
          <w:b/>
          <w:color w:val="000000"/>
          <w:sz w:val="22"/>
        </w:rPr>
        <w:t>PART V — NOTICE OF OCCUPATION OF FACTORY, AND REGISTRATION AND USE OF MACHINERY</w:t>
      </w:r>
      <w:r>
        <w:rPr>
          <w:rFonts w:ascii="Arial" w:hAnsi="Arial" w:cs="Arial"/>
          <w:color w:val="000000"/>
          <w:sz w:val="22"/>
        </w:rPr>
        <w:t xml:space="preserve"> 34. Operation of factory 35. Building operations or works of engineering construction 36. Installation of machinery, etc. 37. Application for registration 38. Register 39. Moving or alteration of or addition to machinery to be approved 40. Periodical inspections 41. Questions for decision by an Inspector and appeals from such decision 42. Report of changes, etc. 43. Machinery or factory no longer in use 44. Notice of sale, hire or transfer 45. Copy of report of enquiry may be supplied 46. Powers of the Chief Inspector and Senior Inspectors at enquiries</w:t>
      </w:r>
    </w:p>
    <w:p>
      <w:pPr>
        <w:spacing w:line="276" w:lineRule="auto" w:after="120"/>
        <w:jc w:val="left"/>
      </w:pPr>
      <w:r>
        <w:rPr>
          <w:rFonts w:ascii="Arial" w:hAnsi="Arial" w:cs="Arial"/>
          <w:b/>
          <w:color w:val="000000"/>
          <w:sz w:val="22"/>
        </w:rPr>
        <w:t>PART VI — GENERAL</w:t>
      </w:r>
      <w:r>
        <w:rPr>
          <w:rFonts w:ascii="Arial" w:hAnsi="Arial" w:cs="Arial"/>
          <w:color w:val="000000"/>
          <w:sz w:val="22"/>
        </w:rPr>
        <w:t xml:space="preserve"> 47. Criminal or civil liability unaffected 48. Fees 49. Chief Inspector's powers 50. Offences 51. Penalties 52. Prosecutions 52A. Power to compound 53. Power to modify agreements 54. Power to apportion expenses 55. Exemptions 56. Regulations 57. Medical supervision 58. Repeal 59. Amendment of Schedule</w:t>
      </w:r>
    </w:p>
    <w:p>
      <w:pPr>
        <w:spacing w:line="276" w:lineRule="auto" w:after="120"/>
        <w:jc w:val="left"/>
      </w:pPr>
      <w:r>
        <w:rPr>
          <w:rFonts w:ascii="Arial" w:hAnsi="Arial" w:cs="Arial"/>
          <w:b/>
          <w:color w:val="000000"/>
          <w:sz w:val="22"/>
        </w:rPr>
        <w:t>Jadual 4: Peraturan Yang Dibuat Di Bawah FMA 1967</w:t>
      </w:r>
      <w:r>
        <w:rPr>
          <w:rFonts w:ascii="Arial" w:hAnsi="Arial" w:cs="Arial"/>
          <w:color w:val="000000"/>
          <w:sz w:val="22"/>
        </w:rPr>
        <w:t xml:space="preserve"> </w:t>
      </w:r>
      <w:r>
        <w:rPr>
          <w:rFonts w:ascii="Arial" w:hAnsi="Arial" w:cs="Arial"/>
          <w:i/>
          <w:color w:val="000000"/>
          <w:sz w:val="22"/>
        </w:rPr>
        <w:t>(Table 4: The regulation made under FMA, 1967)</w:t>
      </w:r>
    </w:p>
    <w:tbl>
      <w:tblPr>
        <w:tblStyle w:val="TableGrid"/>
        <w:tblW w:type="auto" w:w="0"/>
        <w:tblLayout w:type="autofit"/>
        <w:tblLook w:firstColumn="1" w:firstRow="1" w:lastColumn="0" w:lastRow="0" w:noHBand="0" w:noVBand="1" w:val="04A0"/>
      </w:tblPr>
      <w:tblGrid>
        <w:gridCol w:w="4656"/>
        <w:gridCol w:w="4656"/>
      </w:tblGrid>
      <w:tr>
        <w:trPr>
          <w:tblHeader w:val="true"/>
          <w:cantSplit w:val="true"/>
        </w:trPr>
        <w:tc>
          <w:tcPr>
            <w:tcW w:type="dxa" w:w="4656"/>
            <w:tcMar>
              <w:top w:w="57" w:type="dxa"/>
              <w:left w:w="57" w:type="dxa"/>
              <w:bottom w:w="57" w:type="dxa"/>
              <w:right w:w="57" w:type="dxa"/>
            </w:tcMar>
            <w:shd w:val="clear" w:color="auto" w:fill="D9D9D9"/>
          </w:tcPr>
          <w:p>
            <w:r>
              <w:rPr>
                <w:rFonts w:ascii="Arial" w:hAnsi="Arial" w:cs="Arial"/>
                <w:b/>
                <w:color w:val="000000"/>
                <w:sz w:val="20"/>
              </w:rPr>
              <w:t>Peraturan</w:t>
            </w:r>
          </w:p>
        </w:tc>
        <w:tc>
          <w:tcPr>
            <w:tcW w:type="dxa" w:w="4656"/>
            <w:tcMar>
              <w:top w:w="57" w:type="dxa"/>
              <w:left w:w="57" w:type="dxa"/>
              <w:bottom w:w="57" w:type="dxa"/>
              <w:right w:w="57" w:type="dxa"/>
            </w:tcMar>
            <w:shd w:val="clear" w:color="auto" w:fill="D9D9D9"/>
          </w:tcPr>
          <w:p>
            <w:r>
              <w:rPr>
                <w:rFonts w:ascii="Arial" w:hAnsi="Arial" w:cs="Arial"/>
                <w:b/>
                <w:color w:val="000000"/>
                <w:sz w:val="20"/>
              </w:rPr>
              <w:t>Tahun</w:t>
            </w:r>
          </w:p>
        </w:tc>
      </w:tr>
      <w:tr>
        <w:trPr>
          <w:cantSplit w:val="true"/>
        </w:trPr>
        <w:tc>
          <w:tcPr>
            <w:tcW w:type="dxa" w:w="4656"/>
            <w:tcMar>
              <w:top w:w="57" w:type="dxa"/>
              <w:left w:w="57" w:type="dxa"/>
              <w:bottom w:w="57" w:type="dxa"/>
              <w:right w:w="57" w:type="dxa"/>
            </w:tcMar>
          </w:tcPr>
          <w:p>
            <w:r>
              <w:rPr>
                <w:rFonts w:ascii="Arial" w:hAnsi="Arial" w:cs="Arial"/>
                <w:color w:val="000000"/>
                <w:sz w:val="20"/>
              </w:rPr>
              <w:t>Factories And Machinery (Person-In-Charge) (Amendment) Regulations</w:t>
            </w:r>
          </w:p>
        </w:tc>
        <w:tc>
          <w:tcPr>
            <w:tcW w:type="dxa" w:w="4656"/>
            <w:tcMar>
              <w:top w:w="57" w:type="dxa"/>
              <w:left w:w="57" w:type="dxa"/>
              <w:bottom w:w="57" w:type="dxa"/>
              <w:right w:w="57" w:type="dxa"/>
            </w:tcMar>
          </w:tcPr>
          <w:p>
            <w:r>
              <w:rPr>
                <w:rFonts w:ascii="Arial" w:hAnsi="Arial" w:cs="Arial"/>
                <w:color w:val="000000"/>
                <w:sz w:val="20"/>
              </w:rPr>
              <w:t>2014</w:t>
            </w:r>
          </w:p>
        </w:tc>
      </w:tr>
      <w:tr>
        <w:trPr>
          <w:cantSplit w:val="true"/>
        </w:trPr>
        <w:tc>
          <w:tcPr>
            <w:tcW w:type="dxa" w:w="4656"/>
            <w:tcMar>
              <w:top w:w="57" w:type="dxa"/>
              <w:left w:w="57" w:type="dxa"/>
              <w:bottom w:w="57" w:type="dxa"/>
              <w:right w:w="57" w:type="dxa"/>
            </w:tcMar>
          </w:tcPr>
          <w:p>
            <w:r>
              <w:rPr>
                <w:rFonts w:ascii="Arial" w:hAnsi="Arial" w:cs="Arial"/>
                <w:color w:val="000000"/>
                <w:sz w:val="20"/>
              </w:rPr>
              <w:t>Factories And Machinery (Special Scheme Of Inspection) (Risk-Based Inspection) Regulations</w:t>
            </w:r>
          </w:p>
        </w:tc>
        <w:tc>
          <w:tcPr>
            <w:tcW w:type="dxa" w:w="4656"/>
            <w:tcMar>
              <w:top w:w="57" w:type="dxa"/>
              <w:left w:w="57" w:type="dxa"/>
              <w:bottom w:w="57" w:type="dxa"/>
              <w:right w:w="57" w:type="dxa"/>
            </w:tcMar>
          </w:tcPr>
          <w:p>
            <w:r>
              <w:rPr>
                <w:rFonts w:ascii="Arial" w:hAnsi="Arial" w:cs="Arial"/>
                <w:color w:val="000000"/>
                <w:sz w:val="20"/>
              </w:rPr>
              <w:t>2014</w:t>
            </w:r>
          </w:p>
        </w:tc>
      </w:tr>
      <w:tr>
        <w:trPr>
          <w:cantSplit w:val="true"/>
        </w:trPr>
        <w:tc>
          <w:tcPr>
            <w:tcW w:type="dxa" w:w="4656"/>
            <w:tcMar>
              <w:top w:w="57" w:type="dxa"/>
              <w:left w:w="57" w:type="dxa"/>
              <w:bottom w:w="57" w:type="dxa"/>
              <w:right w:w="57" w:type="dxa"/>
            </w:tcMar>
          </w:tcPr>
          <w:p>
            <w:r>
              <w:rPr>
                <w:rFonts w:ascii="Arial" w:hAnsi="Arial" w:cs="Arial"/>
                <w:color w:val="000000"/>
                <w:sz w:val="20"/>
              </w:rPr>
              <w:t>Factories And Machinery (Noise Exposure) Regulations</w:t>
            </w:r>
          </w:p>
        </w:tc>
        <w:tc>
          <w:tcPr>
            <w:tcW w:type="dxa" w:w="4656"/>
            <w:tcMar>
              <w:top w:w="57" w:type="dxa"/>
              <w:left w:w="57" w:type="dxa"/>
              <w:bottom w:w="57" w:type="dxa"/>
              <w:right w:w="57" w:type="dxa"/>
            </w:tcMar>
          </w:tcPr>
          <w:p>
            <w:r>
              <w:rPr>
                <w:rFonts w:ascii="Arial" w:hAnsi="Arial" w:cs="Arial"/>
                <w:color w:val="000000"/>
                <w:sz w:val="20"/>
              </w:rPr>
              <w:t>1989</w:t>
            </w:r>
          </w:p>
        </w:tc>
      </w:tr>
      <w:tr>
        <w:trPr>
          <w:cantSplit w:val="true"/>
        </w:trPr>
        <w:tc>
          <w:tcPr>
            <w:tcW w:type="dxa" w:w="4656"/>
            <w:tcMar>
              <w:top w:w="57" w:type="dxa"/>
              <w:left w:w="57" w:type="dxa"/>
              <w:bottom w:w="57" w:type="dxa"/>
              <w:right w:w="57" w:type="dxa"/>
            </w:tcMar>
          </w:tcPr>
          <w:p>
            <w:r>
              <w:rPr>
                <w:rFonts w:ascii="Arial" w:hAnsi="Arial" w:cs="Arial"/>
                <w:color w:val="000000"/>
                <w:sz w:val="20"/>
              </w:rPr>
              <w:t>Factories And Machinery (Mineral Dust) Regulations</w:t>
            </w:r>
          </w:p>
        </w:tc>
        <w:tc>
          <w:tcPr>
            <w:tcW w:type="dxa" w:w="4656"/>
            <w:tcMar>
              <w:top w:w="57" w:type="dxa"/>
              <w:left w:w="57" w:type="dxa"/>
              <w:bottom w:w="57" w:type="dxa"/>
              <w:right w:w="57" w:type="dxa"/>
            </w:tcMar>
          </w:tcPr>
          <w:p>
            <w:r>
              <w:rPr>
                <w:rFonts w:ascii="Arial" w:hAnsi="Arial" w:cs="Arial"/>
                <w:color w:val="000000"/>
                <w:sz w:val="20"/>
              </w:rPr>
              <w:t>1989</w:t>
            </w:r>
          </w:p>
        </w:tc>
      </w:tr>
      <w:tr>
        <w:trPr>
          <w:cantSplit w:val="true"/>
        </w:trPr>
        <w:tc>
          <w:tcPr>
            <w:tcW w:type="dxa" w:w="4656"/>
            <w:tcMar>
              <w:top w:w="57" w:type="dxa"/>
              <w:left w:w="57" w:type="dxa"/>
              <w:bottom w:w="57" w:type="dxa"/>
              <w:right w:w="57" w:type="dxa"/>
            </w:tcMar>
          </w:tcPr>
          <w:p>
            <w:r>
              <w:rPr>
                <w:rFonts w:ascii="Arial" w:hAnsi="Arial" w:cs="Arial"/>
                <w:color w:val="000000"/>
                <w:sz w:val="20"/>
              </w:rPr>
              <w:t>Factories And Machinery (Asbestos) Regulations</w:t>
            </w:r>
          </w:p>
        </w:tc>
        <w:tc>
          <w:tcPr>
            <w:tcW w:type="dxa" w:w="4656"/>
            <w:tcMar>
              <w:top w:w="57" w:type="dxa"/>
              <w:left w:w="57" w:type="dxa"/>
              <w:bottom w:w="57" w:type="dxa"/>
              <w:right w:w="57" w:type="dxa"/>
            </w:tcMar>
          </w:tcPr>
          <w:p>
            <w:r>
              <w:rPr>
                <w:rFonts w:ascii="Arial" w:hAnsi="Arial" w:cs="Arial"/>
                <w:color w:val="000000"/>
                <w:sz w:val="20"/>
              </w:rPr>
              <w:t>1986</w:t>
            </w:r>
          </w:p>
        </w:tc>
      </w:tr>
      <w:tr>
        <w:trPr>
          <w:cantSplit w:val="true"/>
        </w:trPr>
        <w:tc>
          <w:tcPr>
            <w:tcW w:type="dxa" w:w="4656"/>
            <w:tcMar>
              <w:top w:w="57" w:type="dxa"/>
              <w:left w:w="57" w:type="dxa"/>
              <w:bottom w:w="57" w:type="dxa"/>
              <w:right w:w="57" w:type="dxa"/>
            </w:tcMar>
          </w:tcPr>
          <w:p>
            <w:r>
              <w:rPr>
                <w:rFonts w:ascii="Arial" w:hAnsi="Arial" w:cs="Arial"/>
                <w:color w:val="000000"/>
                <w:sz w:val="20"/>
              </w:rPr>
              <w:t>Factories And Machinery (Building Operations And Works Of Engineering Construction) (Safety) Regulations</w:t>
            </w:r>
          </w:p>
        </w:tc>
        <w:tc>
          <w:tcPr>
            <w:tcW w:type="dxa" w:w="4656"/>
            <w:tcMar>
              <w:top w:w="57" w:type="dxa"/>
              <w:left w:w="57" w:type="dxa"/>
              <w:bottom w:w="57" w:type="dxa"/>
              <w:right w:w="57" w:type="dxa"/>
            </w:tcMar>
          </w:tcPr>
          <w:p>
            <w:r>
              <w:rPr>
                <w:rFonts w:ascii="Arial" w:hAnsi="Arial" w:cs="Arial"/>
                <w:color w:val="000000"/>
                <w:sz w:val="20"/>
              </w:rPr>
              <w:t>1986</w:t>
            </w:r>
          </w:p>
        </w:tc>
      </w:tr>
      <w:tr>
        <w:trPr>
          <w:cantSplit w:val="true"/>
        </w:trPr>
        <w:tc>
          <w:tcPr>
            <w:tcW w:type="dxa" w:w="4656"/>
            <w:tcMar>
              <w:top w:w="57" w:type="dxa"/>
              <w:left w:w="57" w:type="dxa"/>
              <w:bottom w:w="57" w:type="dxa"/>
              <w:right w:w="57" w:type="dxa"/>
            </w:tcMar>
          </w:tcPr>
          <w:p>
            <w:r>
              <w:rPr>
                <w:rFonts w:ascii="Arial" w:hAnsi="Arial" w:cs="Arial"/>
                <w:color w:val="000000"/>
                <w:sz w:val="20"/>
              </w:rPr>
              <w:t>Factories And Machinery (Leads) Regulations</w:t>
            </w:r>
          </w:p>
        </w:tc>
        <w:tc>
          <w:tcPr>
            <w:tcW w:type="dxa" w:w="4656"/>
            <w:tcMar>
              <w:top w:w="57" w:type="dxa"/>
              <w:left w:w="57" w:type="dxa"/>
              <w:bottom w:w="57" w:type="dxa"/>
              <w:right w:w="57" w:type="dxa"/>
            </w:tcMar>
          </w:tcPr>
          <w:p>
            <w:r>
              <w:rPr>
                <w:rFonts w:ascii="Arial" w:hAnsi="Arial" w:cs="Arial"/>
                <w:color w:val="000000"/>
                <w:sz w:val="20"/>
              </w:rPr>
              <w:t>1984</w:t>
            </w:r>
          </w:p>
        </w:tc>
      </w:tr>
      <w:tr>
        <w:trPr>
          <w:cantSplit w:val="true"/>
        </w:trPr>
        <w:tc>
          <w:tcPr>
            <w:tcW w:type="dxa" w:w="4656"/>
            <w:tcMar>
              <w:top w:w="57" w:type="dxa"/>
              <w:left w:w="57" w:type="dxa"/>
              <w:bottom w:w="57" w:type="dxa"/>
              <w:right w:w="57" w:type="dxa"/>
            </w:tcMar>
          </w:tcPr>
          <w:p>
            <w:r>
              <w:rPr>
                <w:rFonts w:ascii="Arial" w:hAnsi="Arial" w:cs="Arial"/>
                <w:color w:val="000000"/>
                <w:sz w:val="20"/>
              </w:rPr>
              <w:t>Factories And Machinery (Compounding Of Offences) Rules</w:t>
            </w:r>
          </w:p>
        </w:tc>
        <w:tc>
          <w:tcPr>
            <w:tcW w:type="dxa" w:w="4656"/>
            <w:tcMar>
              <w:top w:w="57" w:type="dxa"/>
              <w:left w:w="57" w:type="dxa"/>
              <w:bottom w:w="57" w:type="dxa"/>
              <w:right w:w="57" w:type="dxa"/>
            </w:tcMar>
          </w:tcPr>
          <w:p>
            <w:r>
              <w:rPr>
                <w:rFonts w:ascii="Arial" w:hAnsi="Arial" w:cs="Arial"/>
                <w:color w:val="000000"/>
                <w:sz w:val="20"/>
              </w:rPr>
              <w:t>1978</w:t>
            </w:r>
          </w:p>
        </w:tc>
      </w:tr>
      <w:tr>
        <w:trPr>
          <w:cantSplit w:val="true"/>
        </w:trPr>
        <w:tc>
          <w:tcPr>
            <w:tcW w:type="dxa" w:w="4656"/>
            <w:tcMar>
              <w:top w:w="57" w:type="dxa"/>
              <w:left w:w="57" w:type="dxa"/>
              <w:bottom w:w="57" w:type="dxa"/>
              <w:right w:w="57" w:type="dxa"/>
            </w:tcMar>
          </w:tcPr>
          <w:p>
            <w:r>
              <w:rPr>
                <w:rFonts w:ascii="Arial" w:hAnsi="Arial" w:cs="Arial"/>
                <w:color w:val="000000"/>
                <w:sz w:val="20"/>
              </w:rPr>
              <w:t>Factories And Machinery (Compoundable Offences) Regulations</w:t>
            </w:r>
          </w:p>
        </w:tc>
        <w:tc>
          <w:tcPr>
            <w:tcW w:type="dxa" w:w="4656"/>
            <w:tcMar>
              <w:top w:w="57" w:type="dxa"/>
              <w:left w:w="57" w:type="dxa"/>
              <w:bottom w:w="57" w:type="dxa"/>
              <w:right w:w="57" w:type="dxa"/>
            </w:tcMar>
          </w:tcPr>
          <w:p>
            <w:r>
              <w:rPr>
                <w:rFonts w:ascii="Arial" w:hAnsi="Arial" w:cs="Arial"/>
                <w:color w:val="000000"/>
                <w:sz w:val="20"/>
              </w:rPr>
              <w:t>1978</w:t>
            </w:r>
          </w:p>
        </w:tc>
      </w:tr>
      <w:tr>
        <w:trPr>
          <w:cantSplit w:val="true"/>
        </w:trPr>
        <w:tc>
          <w:tcPr>
            <w:tcW w:type="dxa" w:w="4656"/>
            <w:tcMar>
              <w:top w:w="57" w:type="dxa"/>
              <w:left w:w="57" w:type="dxa"/>
              <w:bottom w:w="57" w:type="dxa"/>
              <w:right w:w="57" w:type="dxa"/>
            </w:tcMar>
          </w:tcPr>
          <w:p>
            <w:r>
              <w:rPr>
                <w:rFonts w:ascii="Arial" w:hAnsi="Arial" w:cs="Arial"/>
                <w:color w:val="000000"/>
                <w:sz w:val="20"/>
              </w:rPr>
              <w:t>Factories And Machinery (Certificates Of Competency Examinations) Regulations</w:t>
            </w:r>
          </w:p>
        </w:tc>
        <w:tc>
          <w:tcPr>
            <w:tcW w:type="dxa" w:w="4656"/>
            <w:tcMar>
              <w:top w:w="57" w:type="dxa"/>
              <w:left w:w="57" w:type="dxa"/>
              <w:bottom w:w="57" w:type="dxa"/>
              <w:right w:w="57" w:type="dxa"/>
            </w:tcMar>
          </w:tcPr>
          <w:p>
            <w:r>
              <w:rPr>
                <w:rFonts w:ascii="Arial" w:hAnsi="Arial" w:cs="Arial"/>
                <w:color w:val="000000"/>
                <w:sz w:val="20"/>
              </w:rPr>
              <w:t>1970</w:t>
            </w:r>
          </w:p>
        </w:tc>
      </w:tr>
      <w:tr>
        <w:trPr>
          <w:cantSplit w:val="true"/>
        </w:trPr>
        <w:tc>
          <w:tcPr>
            <w:tcW w:type="dxa" w:w="4656"/>
            <w:tcMar>
              <w:top w:w="57" w:type="dxa"/>
              <w:left w:w="57" w:type="dxa"/>
              <w:bottom w:w="57" w:type="dxa"/>
              <w:right w:w="57" w:type="dxa"/>
            </w:tcMar>
          </w:tcPr>
          <w:p>
            <w:r>
              <w:rPr>
                <w:rFonts w:ascii="Arial" w:hAnsi="Arial" w:cs="Arial"/>
                <w:color w:val="000000"/>
                <w:sz w:val="20"/>
              </w:rPr>
              <w:t>Factories And Machinery (Administration) Regulations</w:t>
            </w:r>
          </w:p>
        </w:tc>
        <w:tc>
          <w:tcPr>
            <w:tcW w:type="dxa" w:w="4656"/>
            <w:tcMar>
              <w:top w:w="57" w:type="dxa"/>
              <w:left w:w="57" w:type="dxa"/>
              <w:bottom w:w="57" w:type="dxa"/>
              <w:right w:w="57" w:type="dxa"/>
            </w:tcMar>
          </w:tcPr>
          <w:p>
            <w:r>
              <w:rPr>
                <w:rFonts w:ascii="Arial" w:hAnsi="Arial" w:cs="Arial"/>
                <w:color w:val="000000"/>
                <w:sz w:val="20"/>
              </w:rPr>
              <w:t>1970</w:t>
            </w:r>
          </w:p>
        </w:tc>
      </w:tr>
      <w:tr>
        <w:trPr>
          <w:cantSplit w:val="true"/>
        </w:trPr>
        <w:tc>
          <w:tcPr>
            <w:tcW w:type="dxa" w:w="4656"/>
            <w:tcMar>
              <w:top w:w="57" w:type="dxa"/>
              <w:left w:w="57" w:type="dxa"/>
              <w:bottom w:w="57" w:type="dxa"/>
              <w:right w:w="57" w:type="dxa"/>
            </w:tcMar>
          </w:tcPr>
          <w:p>
            <w:r>
              <w:rPr>
                <w:rFonts w:ascii="Arial" w:hAnsi="Arial" w:cs="Arial"/>
                <w:color w:val="000000"/>
                <w:sz w:val="20"/>
              </w:rPr>
              <w:t>Factories And Machinery (Notification Of Fitness And Inspections) Regulations</w:t>
            </w:r>
          </w:p>
        </w:tc>
        <w:tc>
          <w:tcPr>
            <w:tcW w:type="dxa" w:w="4656"/>
            <w:tcMar>
              <w:top w:w="57" w:type="dxa"/>
              <w:left w:w="57" w:type="dxa"/>
              <w:bottom w:w="57" w:type="dxa"/>
              <w:right w:w="57" w:type="dxa"/>
            </w:tcMar>
          </w:tcPr>
          <w:p>
            <w:r>
              <w:rPr>
                <w:rFonts w:ascii="Arial" w:hAnsi="Arial" w:cs="Arial"/>
                <w:color w:val="000000"/>
                <w:sz w:val="20"/>
              </w:rPr>
              <w:t>1970</w:t>
            </w:r>
          </w:p>
        </w:tc>
      </w:tr>
      <w:tr>
        <w:trPr>
          <w:cantSplit w:val="true"/>
        </w:trPr>
        <w:tc>
          <w:tcPr>
            <w:tcW w:type="dxa" w:w="4656"/>
            <w:tcMar>
              <w:top w:w="57" w:type="dxa"/>
              <w:left w:w="57" w:type="dxa"/>
              <w:bottom w:w="57" w:type="dxa"/>
              <w:right w:w="57" w:type="dxa"/>
            </w:tcMar>
          </w:tcPr>
          <w:p>
            <w:r>
              <w:rPr>
                <w:rFonts w:ascii="Arial" w:hAnsi="Arial" w:cs="Arial"/>
                <w:color w:val="000000"/>
                <w:sz w:val="20"/>
              </w:rPr>
              <w:t>Factories And Machinery (Electric Passenger And Goods Lift) Regulations</w:t>
            </w:r>
          </w:p>
        </w:tc>
        <w:tc>
          <w:tcPr>
            <w:tcW w:type="dxa" w:w="4656"/>
            <w:tcMar>
              <w:top w:w="57" w:type="dxa"/>
              <w:left w:w="57" w:type="dxa"/>
              <w:bottom w:w="57" w:type="dxa"/>
              <w:right w:w="57" w:type="dxa"/>
            </w:tcMar>
          </w:tcPr>
          <w:p>
            <w:r>
              <w:rPr>
                <w:rFonts w:ascii="Arial" w:hAnsi="Arial" w:cs="Arial"/>
                <w:color w:val="000000"/>
                <w:sz w:val="20"/>
              </w:rPr>
              <w:t>1970</w:t>
            </w:r>
          </w:p>
        </w:tc>
      </w:tr>
      <w:tr>
        <w:trPr>
          <w:cantSplit w:val="true"/>
        </w:trPr>
        <w:tc>
          <w:tcPr>
            <w:tcW w:type="dxa" w:w="4656"/>
            <w:tcMar>
              <w:top w:w="57" w:type="dxa"/>
              <w:left w:w="57" w:type="dxa"/>
              <w:bottom w:w="57" w:type="dxa"/>
              <w:right w:w="57" w:type="dxa"/>
            </w:tcMar>
          </w:tcPr>
          <w:p>
            <w:r>
              <w:rPr>
                <w:rFonts w:ascii="Arial" w:hAnsi="Arial" w:cs="Arial"/>
                <w:color w:val="000000"/>
                <w:sz w:val="20"/>
              </w:rPr>
              <w:t>Factories And Machinery (Fencing Of Machinery And Safety) Regulations</w:t>
            </w:r>
          </w:p>
        </w:tc>
        <w:tc>
          <w:tcPr>
            <w:tcW w:type="dxa" w:w="4656"/>
            <w:tcMar>
              <w:top w:w="57" w:type="dxa"/>
              <w:left w:w="57" w:type="dxa"/>
              <w:bottom w:w="57" w:type="dxa"/>
              <w:right w:w="57" w:type="dxa"/>
            </w:tcMar>
          </w:tcPr>
          <w:p>
            <w:r>
              <w:rPr>
                <w:rFonts w:ascii="Arial" w:hAnsi="Arial" w:cs="Arial"/>
                <w:color w:val="000000"/>
                <w:sz w:val="20"/>
              </w:rPr>
              <w:t>1970</w:t>
            </w:r>
          </w:p>
        </w:tc>
      </w:tr>
      <w:tr>
        <w:trPr>
          <w:cantSplit w:val="true"/>
        </w:trPr>
        <w:tc>
          <w:tcPr>
            <w:tcW w:type="dxa" w:w="4656"/>
            <w:tcMar>
              <w:top w:w="57" w:type="dxa"/>
              <w:left w:w="57" w:type="dxa"/>
              <w:bottom w:w="57" w:type="dxa"/>
              <w:right w:w="57" w:type="dxa"/>
            </w:tcMar>
          </w:tcPr>
          <w:p>
            <w:r>
              <w:rPr>
                <w:rFonts w:ascii="Arial" w:hAnsi="Arial" w:cs="Arial"/>
                <w:color w:val="000000"/>
                <w:sz w:val="20"/>
              </w:rPr>
              <w:t>Factories And Machinery (Safety, Health And Welfare) Regulations</w:t>
            </w:r>
          </w:p>
        </w:tc>
        <w:tc>
          <w:tcPr>
            <w:tcW w:type="dxa" w:w="4656"/>
            <w:tcMar>
              <w:top w:w="57" w:type="dxa"/>
              <w:left w:w="57" w:type="dxa"/>
              <w:bottom w:w="57" w:type="dxa"/>
              <w:right w:w="57" w:type="dxa"/>
            </w:tcMar>
          </w:tcPr>
          <w:p>
            <w:r>
              <w:rPr>
                <w:rFonts w:ascii="Arial" w:hAnsi="Arial" w:cs="Arial"/>
                <w:color w:val="000000"/>
                <w:sz w:val="20"/>
              </w:rPr>
              <w:t>1970</w:t>
            </w:r>
          </w:p>
        </w:tc>
      </w:tr>
      <w:tr>
        <w:trPr>
          <w:cantSplit w:val="true"/>
        </w:trPr>
        <w:tc>
          <w:tcPr>
            <w:tcW w:type="dxa" w:w="4656"/>
            <w:tcMar>
              <w:top w:w="57" w:type="dxa"/>
              <w:left w:w="57" w:type="dxa"/>
              <w:bottom w:w="57" w:type="dxa"/>
              <w:right w:w="57" w:type="dxa"/>
            </w:tcMar>
          </w:tcPr>
          <w:p>
            <w:r>
              <w:rPr>
                <w:rFonts w:ascii="Arial" w:hAnsi="Arial" w:cs="Arial"/>
                <w:color w:val="000000"/>
                <w:sz w:val="20"/>
              </w:rPr>
              <w:t>Factories And Machinery (Steam Boiler And Unfired Pressure Vessel) Regulations</w:t>
            </w:r>
          </w:p>
        </w:tc>
        <w:tc>
          <w:tcPr>
            <w:tcW w:type="dxa" w:w="4656"/>
            <w:tcMar>
              <w:top w:w="57" w:type="dxa"/>
              <w:left w:w="57" w:type="dxa"/>
              <w:bottom w:w="57" w:type="dxa"/>
              <w:right w:w="57" w:type="dxa"/>
            </w:tcMar>
          </w:tcPr>
          <w:p>
            <w:r>
              <w:rPr>
                <w:rFonts w:ascii="Arial" w:hAnsi="Arial" w:cs="Arial"/>
                <w:color w:val="000000"/>
                <w:sz w:val="20"/>
              </w:rPr>
              <w:t>1970</w:t>
            </w:r>
          </w:p>
        </w:tc>
      </w:tr>
    </w:tbl>
    <w:p>
      <w:pPr>
        <w:spacing w:line="276" w:lineRule="auto" w:after="120"/>
        <w:jc w:val="left"/>
      </w:pPr>
      <w:r>
        <w:rPr>
          <w:rFonts w:ascii="Arial" w:hAnsi="Arial" w:cs="Arial"/>
          <w:i/>
          <w:color w:val="000000"/>
          <w:sz w:val="22"/>
        </w:rPr>
        <w:t>Contoh studio penyuntingan video:</w:t>
      </w:r>
      <w:r>
        <w:rPr>
          <w:rFonts w:ascii="Arial" w:hAnsi="Arial" w:cs="Arial"/>
          <w:color w:val="000000"/>
          <w:sz w:val="22"/>
        </w:rPr>
        <w:t xml:space="preserve"> walaupun studio post-production 3U bukan sebuah kilang secara fizikal, prinsip Seksyen 15–19 OSHA 1994 tetap terpakai — pengurusan studio wajib memastikan </w:t>
      </w:r>
      <w:r>
        <w:rPr>
          <w:rFonts w:ascii="Arial" w:hAnsi="Arial" w:cs="Arial"/>
          <w:i/>
          <w:color w:val="000000"/>
          <w:sz w:val="22"/>
        </w:rPr>
        <w:t>suite</w:t>
      </w:r>
      <w:r>
        <w:rPr>
          <w:rFonts w:ascii="Arial" w:hAnsi="Arial" w:cs="Arial"/>
          <w:color w:val="000000"/>
          <w:sz w:val="22"/>
        </w:rPr>
        <w:t xml:space="preserve"> penyuntingan yang sesak dengan kabel </w:t>
      </w:r>
      <w:r>
        <w:rPr>
          <w:rFonts w:ascii="Arial" w:hAnsi="Arial" w:cs="Arial"/>
          <w:i/>
          <w:color w:val="000000"/>
          <w:sz w:val="22"/>
        </w:rPr>
        <w:t>power</w:t>
      </w:r>
      <w:r>
        <w:rPr>
          <w:rFonts w:ascii="Arial" w:hAnsi="Arial" w:cs="Arial"/>
          <w:color w:val="000000"/>
          <w:sz w:val="22"/>
        </w:rPr>
        <w:t xml:space="preserve">, </w:t>
      </w:r>
      <w:r>
        <w:rPr>
          <w:rFonts w:ascii="Arial" w:hAnsi="Arial" w:cs="Arial"/>
          <w:i/>
          <w:color w:val="000000"/>
          <w:sz w:val="22"/>
        </w:rPr>
        <w:t>UPS render farm</w:t>
      </w:r>
      <w:r>
        <w:rPr>
          <w:rFonts w:ascii="Arial" w:hAnsi="Arial" w:cs="Arial"/>
          <w:color w:val="000000"/>
          <w:sz w:val="22"/>
        </w:rPr>
        <w:t xml:space="preserve"> dan penghawa dingin sentiasa selamat, dan mesti melaporkan sebarang kemalangan (contohnya </w:t>
      </w:r>
      <w:r>
        <w:rPr>
          <w:rFonts w:ascii="Arial" w:hAnsi="Arial" w:cs="Arial"/>
          <w:i/>
          <w:color w:val="000000"/>
          <w:sz w:val="22"/>
        </w:rPr>
        <w:t>Editor</w:t>
      </w:r>
      <w:r>
        <w:rPr>
          <w:rFonts w:ascii="Arial" w:hAnsi="Arial" w:cs="Arial"/>
          <w:color w:val="000000"/>
          <w:sz w:val="22"/>
        </w:rPr>
        <w:t xml:space="preserve"> tersandung kabel dan tercedera) kepada DOSH mengikut Akta ini.</w:t>
      </w:r>
    </w:p>
    <w:p/>
    <w:p>
      <w:pPr>
        <w:spacing w:before="120" w:after="120" w:line="276" w:lineRule="auto"/>
        <w:jc w:val="left"/>
      </w:pPr>
      <w:r>
        <w:rPr>
          <w:rFonts w:ascii="Arial" w:hAnsi="Arial" w:cs="Arial"/>
          <w:b/>
          <w:color w:val="000000"/>
          <w:sz w:val="22"/>
        </w:rPr>
        <w:t>SOALAN:</w:t>
      </w:r>
    </w:p>
    <w:p>
      <w:pPr>
        <w:spacing w:before="120" w:after="120" w:line="276" w:lineRule="auto"/>
        <w:jc w:val="left"/>
      </w:pPr>
      <w:r>
        <w:rPr>
          <w:rFonts w:ascii="Arial" w:hAnsi="Arial" w:cs="Arial"/>
          <w:b/>
          <w:color w:val="000000"/>
          <w:sz w:val="22"/>
        </w:rPr>
        <w:t>1. Apakah tugas am majikan?</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Di bawah Seksyen 15 OSHA 1994, majikan wajib memastikan keselamatan, kesihatan dan kebajikan pekerja setakat yang praktik — termasuk menyediakan loji dan sistem kerja yang selamat, maklumat/latihan/penyeliaan yang mencukupi, tempat kerja yang selamat, dan persekitaran kerja yang tanpa risiko kepada kesihatan. Di studio penyuntingan video, ini bermaksud pengurusan studio wajib memastikan pendawaian elektrik </w:t>
      </w:r>
      <w:r>
        <w:rPr>
          <w:rFonts w:ascii="Arial" w:hAnsi="Arial" w:cs="Arial"/>
          <w:i/>
          <w:color w:val="000000"/>
          <w:sz w:val="22"/>
        </w:rPr>
        <w:t>editing suite</w:t>
      </w:r>
      <w:r>
        <w:rPr>
          <w:rFonts w:ascii="Arial" w:hAnsi="Arial" w:cs="Arial"/>
          <w:color w:val="000000"/>
          <w:sz w:val="22"/>
        </w:rPr>
        <w:t xml:space="preserve"> dan </w:t>
      </w:r>
      <w:r>
        <w:rPr>
          <w:rFonts w:ascii="Arial" w:hAnsi="Arial" w:cs="Arial"/>
          <w:i/>
          <w:color w:val="000000"/>
          <w:sz w:val="22"/>
        </w:rPr>
        <w:t>render farm</w:t>
      </w:r>
      <w:r>
        <w:rPr>
          <w:rFonts w:ascii="Arial" w:hAnsi="Arial" w:cs="Arial"/>
          <w:color w:val="000000"/>
          <w:sz w:val="22"/>
        </w:rPr>
        <w:t xml:space="preserve"> diselenggara selamat serta </w:t>
      </w:r>
      <w:r>
        <w:rPr>
          <w:rFonts w:ascii="Arial" w:hAnsi="Arial" w:cs="Arial"/>
          <w:i/>
          <w:color w:val="000000"/>
          <w:sz w:val="22"/>
        </w:rPr>
        <w:t>Editor</w:t>
      </w:r>
      <w:r>
        <w:rPr>
          <w:rFonts w:ascii="Arial" w:hAnsi="Arial" w:cs="Arial"/>
          <w:color w:val="000000"/>
          <w:sz w:val="22"/>
        </w:rPr>
        <w:t xml:space="preserve"> dilatih mengendalikan peralatan dengan betul.</w:t>
      </w:r>
    </w:p>
    <w:p>
      <w:pPr>
        <w:spacing w:before="120" w:after="120" w:line="276" w:lineRule="auto"/>
        <w:jc w:val="left"/>
      </w:pPr>
      <w:r>
        <w:rPr>
          <w:rFonts w:ascii="Arial" w:hAnsi="Arial" w:cs="Arial"/>
          <w:b/>
          <w:color w:val="000000"/>
          <w:sz w:val="22"/>
        </w:rPr>
        <w:t>2. Apakah organisasi keselamatan dan kesihatan yang ditetapkan Akta?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Akta menetapkan pengawasan perubatan bagi kerja berisiko tinggi, jawatankuasa keselamatan dan kesihatan mandatori bagi tempat kerja dengan lebih 40 pekerja, dan pelantikan pegawai keselamatan dan kesihatan bagi industri yang diwartakan. Sebuah studio produksi video yang berkembang melebihi 40 pekerja wajib menubuhkan jawatankuasa sedemikian.</w:t>
      </w:r>
    </w:p>
    <w:p>
      <w:pPr>
        <w:spacing w:before="120" w:after="120" w:line="276" w:lineRule="auto"/>
        <w:jc w:val="left"/>
      </w:pPr>
      <w:r>
        <w:rPr>
          <w:rFonts w:ascii="Arial" w:hAnsi="Arial" w:cs="Arial"/>
          <w:b/>
          <w:color w:val="000000"/>
          <w:sz w:val="22"/>
        </w:rPr>
        <w:t>3. Berikan tiga senarai Kod Amalan Industri (ICOP).</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(i) Industry Code Of Practice For Safe Working In A Confined Space (2010), (ii) Industry Code Of Practice On Indoor Air Quality (2010) — relevan kepada kualiti udara </w:t>
      </w:r>
      <w:r>
        <w:rPr>
          <w:rFonts w:ascii="Arial" w:hAnsi="Arial" w:cs="Arial"/>
          <w:i/>
          <w:color w:val="000000"/>
          <w:sz w:val="22"/>
        </w:rPr>
        <w:t>editing suite</w:t>
      </w:r>
      <w:r>
        <w:rPr>
          <w:rFonts w:ascii="Arial" w:hAnsi="Arial" w:cs="Arial"/>
          <w:color w:val="000000"/>
          <w:sz w:val="22"/>
        </w:rPr>
        <w:t xml:space="preserve"> tertutup, (iii) Code Of Practice On Prevention And Eradication Of Drug, Alcohol And Substance Abuse In The Workplace (2005).</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Occupational Safety and Health Act 1994, (2010) Malaysia, Penerbitan Akta (M), ISBN-978-967-576-9221.</w:t>
      </w:r>
    </w:p>
    <w:p>
      <w:pPr>
        <w:spacing w:line="276" w:lineRule="auto" w:after="120"/>
        <w:jc w:val="left"/>
      </w:pPr>
      <w:r>
        <w:rPr>
          <w:rFonts w:ascii="Arial" w:hAnsi="Arial" w:cs="Arial"/>
          <w:color w:val="000000"/>
          <w:sz w:val="22"/>
        </w:rPr>
        <w:t>Chessebro T.; O'Connor L.; Rios F., (2009), Communicating in the Workplace. Prentice Hall. ISBN-13 978-0136136910.</w:t>
      </w:r>
    </w:p>
    <w:p>
      <w:pPr>
        <w:spacing w:line="276" w:lineRule="auto" w:after="120"/>
        <w:jc w:val="left"/>
      </w:pPr>
      <w:r>
        <w:rPr>
          <w:rFonts w:ascii="Arial" w:hAnsi="Arial" w:cs="Arial"/>
          <w:color w:val="000000"/>
          <w:sz w:val="22"/>
        </w:rPr>
        <w:t>Vergo P., (1974). Health and Safety at Work etc Act 1974, (Public General Acts – Elizabeth II), TSO. ISBN-13 978-0105437741.</w:t>
      </w:r>
    </w:p>
    <w:p>
      <w:pPr>
        <w:spacing w:line="276" w:lineRule="auto" w:after="120"/>
        <w:jc w:val="left"/>
      </w:pPr>
      <w:r>
        <w:rPr>
          <w:rFonts w:ascii="Arial" w:hAnsi="Arial" w:cs="Arial"/>
          <w:color w:val="000000"/>
          <w:sz w:val="22"/>
        </w:rPr>
        <w:t>Factories and Machinery Act 1967 and Regulations, Pindaan Ogos 2008, ISBN 967701156-1.</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