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IT-072-3:2012 VIDEO / FILM (EDITING)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3</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IT-072-3:2012-C02 / VISUAL EDITING PREPARATION</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IT-072-3:2012-C02-W03 / Perform digitising / capturing recorded materials</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IT-072-3:2012-C02/NP(3/4)</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31</w:t>
            </w:r>
          </w:p>
        </w:tc>
      </w:tr>
    </w:tbl>
    <w:p>
      <w:r>
        <w:rPr>
          <w:b/>
        </w:rPr>
        <w:t>TAJUK:</w:t>
      </w:r>
    </w:p>
    <w:p>
      <w:r>
        <w:t>Digitisasi dan Penangkapan (Capturing) Bahan Rakaman dalam Persediaan Penyuntingan Visual</w:t>
      </w:r>
    </w:p>
    <w:p/>
    <w:p>
      <w:r>
        <w:rPr>
          <w:b/>
        </w:rPr>
        <w:t>TUJUAN:</w:t>
      </w:r>
    </w:p>
    <w:p>
      <w:r>
        <w:t>Nota Pembelajaran ini bertujuan untuk membolehkan Bakat memahami proses digitisasi/capturing bahan rakaman daripada pelbagai format sumber (filem, tape, tapeless) kepada bentuk digital yang sedia untuk diedit, merangkumi Bab 1 Film Scanning, Bab 2 Transfer Process, Bab 3 Computer Software and Hardware, Bab 4 Type of Format Material, Bab 5 Type of Conversion Format dan Bab 6 Type of Aspect Ratio Format, kerana ketepatan setiap langkah ini memastikan tiada kehilangan data atau kualiti sebelum footage sedia untuk proses penyuntingan seterusnya.</w:t>
      </w:r>
    </w:p>
    <w:p/>
    <w:p>
      <w:r>
        <w:rPr>
          <w:b/>
        </w:rPr>
        <w:t>PENERANGAN:</w:t>
      </w:r>
    </w:p>
    <w:p>
      <w:r>
        <w:rPr>
          <w:b/>
          <w:sz w:val="36"/>
        </w:rPr>
        <w:t>Bab 1: Film Scanning</w:t>
      </w:r>
    </w:p>
    <w:p>
      <w:r>
        <w:rPr>
          <w:b/>
          <w:sz w:val="26"/>
        </w:rPr>
        <w:t>Objektif Pembelajaran</w:t>
      </w:r>
    </w:p>
    <w:p>
      <w:r>
        <w:t>Selepas mempelajari topik ini, pelatih dapat:</w:t>
      </w:r>
    </w:p>
    <w:p>
      <w:pPr>
        <w:pStyle w:val="ListParagraph"/>
      </w:pPr>
      <w:r>
        <w:t>• Menjelaskan proses film scanning dan mesin yang digunakan.</w:t>
      </w:r>
    </w:p>
    <w:p>
      <w:pPr>
        <w:pStyle w:val="ListParagraph"/>
      </w:pPr>
      <w:r>
        <w:t>• Menentukan resolusi imbasan mengikut keperluan output projek.</w:t>
      </w:r>
    </w:p>
    <w:p>
      <w:pPr>
        <w:pStyle w:val="ListParagraph"/>
      </w:pPr>
      <w:r>
        <w:t>• Mengenal pasti format fail hasil imbasan yang mengekalkan kualiti maksimum.</w:t>
      </w:r>
    </w:p>
    <w:p>
      <w:r>
        <w:rPr>
          <w:b/>
          <w:sz w:val="26"/>
        </w:rPr>
        <w:t>1. Proses dan Peralatan Film Scanning</w:t>
      </w:r>
    </w:p>
    <w:p>
      <w:r>
        <w:t>Film scanning ialah proses mengimbas filem seluloid (fizikal) untuk ditukar kepada data imej digital, frame demi frame, menggunakan mesin *film scanner* khusus (contohnya Scanity, ARRISCAN). Proses ini penting bagi projek yang masih menggunakan bahan sumber filem asal atau arkib filem lama yang perlu dipulihara secara digital.</w:t>
      </w:r>
    </w:p>
    <w:p>
      <w:r>
        <w:rPr>
          <w:b/>
          <w:sz w:val="26"/>
        </w:rPr>
        <w:t>2. Resolusi dan Format Fail Hasil Imbasan</w:t>
      </w:r>
    </w:p>
    <w:tbl>
      <w:tblPr>
        <w:tblStyle w:val="TableGrid"/>
        <w:tblW w:type="auto" w:w="0"/>
        <w:tblLook w:firstColumn="1" w:firstRow="1" w:lastColumn="0" w:lastRow="0" w:noHBand="0" w:noVBand="1" w:val="04A0"/>
      </w:tblPr>
      <w:tblGrid>
        <w:gridCol w:w="4656"/>
        <w:gridCol w:w="4656"/>
      </w:tblGrid>
      <w:tr>
        <w:tc>
          <w:tcPr>
            <w:tcW w:type="dxa" w:w="4656"/>
          </w:tcPr>
          <w:p>
            <w:r>
              <w:t>Aspek</w:t>
            </w:r>
          </w:p>
        </w:tc>
        <w:tc>
          <w:tcPr>
            <w:tcW w:type="dxa" w:w="4656"/>
          </w:tcPr>
          <w:p>
            <w:r>
              <w:t>Penerangan</w:t>
            </w:r>
          </w:p>
        </w:tc>
      </w:tr>
      <w:tr>
        <w:tc>
          <w:tcPr>
            <w:tcW w:type="dxa" w:w="4656"/>
          </w:tcPr>
          <w:p>
            <w:r>
              <w:t>Resolusi imbasan</w:t>
            </w:r>
          </w:p>
        </w:tc>
        <w:tc>
          <w:tcPr>
            <w:tcW w:type="dxa" w:w="4656"/>
          </w:tcPr>
          <w:p>
            <w:r>
              <w:t>Ditetapkan mengikut keperluan output projek (contohnya 2K atau 4K per frame)</w:t>
            </w:r>
          </w:p>
        </w:tc>
      </w:tr>
      <w:tr>
        <w:tc>
          <w:tcPr>
            <w:tcW w:type="dxa" w:w="4656"/>
          </w:tcPr>
          <w:p>
            <w:r>
              <w:t>Kaedah imbasan</w:t>
            </w:r>
          </w:p>
        </w:tc>
        <w:tc>
          <w:tcPr>
            <w:tcW w:type="dxa" w:w="4656"/>
          </w:tcPr>
          <w:p>
            <w:r>
              <w:t>Setiap frame diimbas berasingan untuk mengelakkan kehilangan maklumat cahaya dan warna asal filem</w:t>
            </w:r>
          </w:p>
        </w:tc>
      </w:tr>
      <w:tr>
        <w:tc>
          <w:tcPr>
            <w:tcW w:type="dxa" w:w="4656"/>
          </w:tcPr>
          <w:p>
            <w:r>
              <w:t>Format fail simpanan</w:t>
            </w:r>
          </w:p>
        </w:tc>
        <w:tc>
          <w:tcPr>
            <w:tcW w:type="dxa" w:w="4656"/>
          </w:tcPr>
          <w:p>
            <w:r>
              <w:t>Uncompressed* atau *DPX sequence*, mengekalkan kualiti maksimum sebelum proses konversi lanjut (rujuk WA2)</w:t>
            </w:r>
          </w:p>
        </w:tc>
      </w:tr>
    </w:tbl>
    <w:p>
      <w:r>
        <w:rPr>
          <w:b/>
          <w:sz w:val="26"/>
        </w:rPr>
        <w:t>3. Rumusan</w:t>
      </w:r>
    </w:p>
    <w:p>
      <w:r>
        <w:t>Film scanning memulihara arkib filem fizikal kepada data digital berkualiti tinggi. Resolusi dan format fail mesti ditetapkan awal supaya kualiti maksimum dikekalkan sebelum proses konversi seterusnya.</w:t>
      </w:r>
    </w:p>
    <w:p>
      <w:r>
        <w:rPr>
          <w:b/>
          <w:sz w:val="36"/>
        </w:rPr>
        <w:t>Bab 2: Transfer Process</w:t>
      </w:r>
    </w:p>
    <w:p>
      <w:r>
        <w:rPr>
          <w:b/>
          <w:sz w:val="26"/>
        </w:rPr>
        <w:t>Objektif Pembelajaran</w:t>
      </w:r>
    </w:p>
    <w:p>
      <w:r>
        <w:t>Selepas mempelajari topik ini, pelatih dapat:</w:t>
      </w:r>
    </w:p>
    <w:p>
      <w:pPr>
        <w:pStyle w:val="ListParagraph"/>
      </w:pPr>
      <w:r>
        <w:t>• Membezakan *soft telecine* dan *hard telecine*.</w:t>
      </w:r>
    </w:p>
    <w:p>
      <w:pPr>
        <w:pStyle w:val="ListParagraph"/>
      </w:pPr>
      <w:r>
        <w:t>• Mengenal pasti peralatan broadcast lazim dan protokol pemindahan data.</w:t>
      </w:r>
    </w:p>
    <w:p>
      <w:pPr>
        <w:pStyle w:val="ListParagraph"/>
      </w:pPr>
      <w:r>
        <w:t>• Menyenaraikan jenis fail AV bagi bahan tapeless.</w:t>
      </w:r>
    </w:p>
    <w:p>
      <w:r>
        <w:rPr>
          <w:b/>
          <w:sz w:val="26"/>
        </w:rPr>
        <w:t>1. Telecine (TC) Process (Film-to-tape transfer)</w:t>
      </w:r>
    </w:p>
    <w:tbl>
      <w:tblPr>
        <w:tblStyle w:val="TableGrid"/>
        <w:tblW w:type="auto" w:w="0"/>
        <w:tblLook w:firstColumn="1" w:firstRow="1" w:lastColumn="0" w:lastRow="0" w:noHBand="0" w:noVBand="1" w:val="04A0"/>
      </w:tblPr>
      <w:tblGrid>
        <w:gridCol w:w="4656"/>
        <w:gridCol w:w="4656"/>
      </w:tblGrid>
      <w:tr>
        <w:tc>
          <w:tcPr>
            <w:tcW w:type="dxa" w:w="4656"/>
          </w:tcPr>
          <w:p>
            <w:r>
              <w:t>Kaedah</w:t>
            </w:r>
          </w:p>
        </w:tc>
        <w:tc>
          <w:tcPr>
            <w:tcW w:type="dxa" w:w="4656"/>
          </w:tcPr>
          <w:p>
            <w:r>
              <w:t>Penerangan</w:t>
            </w:r>
          </w:p>
        </w:tc>
      </w:tr>
      <w:tr>
        <w:tc>
          <w:tcPr>
            <w:tcW w:type="dxa" w:w="4656"/>
          </w:tcPr>
          <w:p>
            <w:r>
              <w:t>Soft telecine</w:t>
            </w:r>
          </w:p>
        </w:tc>
        <w:tc>
          <w:tcPr>
            <w:tcW w:type="dxa" w:w="4656"/>
          </w:tcPr>
          <w:p>
            <w:r>
              <w:t>Kadar bingkai filem (24fps) dikekalkan dalam metadata, membolehkan pemprosesan lanjut yang lebih fleksibel semasa post-production</w:t>
            </w:r>
          </w:p>
        </w:tc>
      </w:tr>
      <w:tr>
        <w:tc>
          <w:tcPr>
            <w:tcW w:type="dxa" w:w="4656"/>
          </w:tcPr>
          <w:p>
            <w:r>
              <w:t>Hard telecine</w:t>
            </w:r>
          </w:p>
        </w:tc>
        <w:tc>
          <w:tcPr>
            <w:tcW w:type="dxa" w:w="4656"/>
          </w:tcPr>
          <w:p>
            <w:r>
              <w:t>Kadar bingkai filem ditukar terus (*baked-in*) kepada kadar video (contohnya 30fps melalui teknik 3:2 pulldown), menghasilkan fail video siap tetapi kurang fleksibel untuk pengubahsuaian kelajuan kemudian</w:t>
            </w:r>
          </w:p>
        </w:tc>
      </w:tr>
    </w:tbl>
    <w:p>
      <w:r>
        <w:rPr>
          <w:b/>
          <w:sz w:val="26"/>
        </w:rPr>
        <w:t>2. Broadcast Equipment dan Data Transfer</w:t>
      </w:r>
    </w:p>
    <w:p>
      <w:r>
        <w:t>Peralatan seperti Digital Betacam, DV Cam dan HD Cam digunakan untuk merakam dan memindahkan data video profesional dalam industri penyiaran; setiap peralatan mempunyai kaedah sambungan dan protokol pemindahan data yang tersendiri (contohnya SDI untuk peralatan broadcast). Bahan tapeless pula dipindahkan terus sebagai fail data digital dalam format seperti MOV (Apple QuickTime), AVI (Audio Video Interleave), MXF (Material Exchange Format — lazim dalam broadcast), dan MP4 (format mampatan umum untuk web/penyampaian).</w:t>
      </w:r>
    </w:p>
    <w:p>
      <w:r>
        <w:rPr>
          <w:b/>
          <w:sz w:val="26"/>
        </w:rPr>
        <w:t>3. Rumusan</w:t>
      </w:r>
    </w:p>
    <w:p>
      <w:r>
        <w:t>Kaedah transfer bergantung kepada sumber asal — telecine untuk filem, peralatan broadcast untuk tape profesional, dan salinan fail terus untuk tapeless. Editor perlu mengenal pasti kaedah yang betul supaya data dipindahkan tanpa kehilangan fleksibiliti atau kualiti.</w:t>
      </w:r>
    </w:p>
    <w:p>
      <w:r>
        <w:rPr>
          <w:b/>
          <w:sz w:val="36"/>
        </w:rPr>
        <w:t>Bab 3: Computer Software and Hardware</w:t>
      </w:r>
    </w:p>
    <w:p>
      <w:r>
        <w:rPr>
          <w:b/>
          <w:sz w:val="26"/>
        </w:rPr>
        <w:t>Objektif Pembelajaran</w:t>
      </w:r>
    </w:p>
    <w:p>
      <w:r>
        <w:t>Selepas mempelajari topik ini, pelatih dapat:</w:t>
      </w:r>
    </w:p>
    <w:p>
      <w:pPr>
        <w:pStyle w:val="ListParagraph"/>
      </w:pPr>
      <w:r>
        <w:t>• Mengesahkan kesesuaian komputer dan perisian dengan aplikasi editing.</w:t>
      </w:r>
    </w:p>
    <w:p>
      <w:pPr>
        <w:pStyle w:val="ListParagraph"/>
      </w:pPr>
      <w:r>
        <w:t>• Menjelaskan tujuan dan kandungan fail projek editing.</w:t>
      </w:r>
    </w:p>
    <w:p>
      <w:pPr>
        <w:pStyle w:val="ListParagraph"/>
      </w:pPr>
      <w:r>
        <w:t>• Mengenal pasti *codec* dan pemacu *capture card* yang perlu disemak.</w:t>
      </w:r>
    </w:p>
    <w:p>
      <w:r>
        <w:rPr>
          <w:b/>
          <w:sz w:val="26"/>
        </w:rPr>
        <w:t>1. Pengesahan Perisian dan Perkakasan</w:t>
      </w:r>
    </w:p>
    <w:p>
      <w:r>
        <w:t>Sebelum proses digitisasi bermula, Editor perlu mengesahkan komputer dan perisian yang digunakan bersesuaian dengan aplikasi editing yang dipilih oleh studio. Ini termasuk semakan *codec* yang disokong, pemacu (*driver*) kad tangkapan (*capture card*) bagi peralatan tape, serta versi perisian NLE yang serasi dengan format fail sasaran.</w:t>
      </w:r>
    </w:p>
    <w:p>
      <w:r>
        <w:rPr>
          <w:b/>
          <w:sz w:val="26"/>
        </w:rPr>
        <w:t>2. Fail Projek Editing</w:t>
      </w:r>
    </w:p>
    <w:tbl>
      <w:tblPr>
        <w:tblStyle w:val="TableGrid"/>
        <w:tblW w:type="auto" w:w="0"/>
        <w:tblLook w:firstColumn="1" w:firstRow="1" w:lastColumn="0" w:lastRow="0" w:noHBand="0" w:noVBand="1" w:val="04A0"/>
      </w:tblPr>
      <w:tblGrid>
        <w:gridCol w:w="4656"/>
        <w:gridCol w:w="4656"/>
      </w:tblGrid>
      <w:tr>
        <w:tc>
          <w:tcPr>
            <w:tcW w:type="dxa" w:w="4656"/>
          </w:tcPr>
          <w:p>
            <w:r>
              <w:t>Perisian NLE</w:t>
            </w:r>
          </w:p>
        </w:tc>
        <w:tc>
          <w:tcPr>
            <w:tcW w:type="dxa" w:w="4656"/>
          </w:tcPr>
          <w:p>
            <w:r>
              <w:t>Sambungan Fail Projek</w:t>
            </w:r>
          </w:p>
        </w:tc>
      </w:tr>
      <w:tr>
        <w:tc>
          <w:tcPr>
            <w:tcW w:type="dxa" w:w="4656"/>
          </w:tcPr>
          <w:p>
            <w:r>
              <w:t>Adobe Premiere Pro</w:t>
            </w:r>
          </w:p>
        </w:tc>
        <w:tc>
          <w:tcPr>
            <w:tcW w:type="dxa" w:w="4656"/>
          </w:tcPr>
          <w:p>
            <w:r>
              <w:t>.prproj</w:t>
            </w:r>
          </w:p>
        </w:tc>
      </w:tr>
      <w:tr>
        <w:tc>
          <w:tcPr>
            <w:tcW w:type="dxa" w:w="4656"/>
          </w:tcPr>
          <w:p>
            <w:r>
              <w:t>DaVinci Resolve</w:t>
            </w:r>
          </w:p>
        </w:tc>
        <w:tc>
          <w:tcPr>
            <w:tcW w:type="dxa" w:w="4656"/>
          </w:tcPr>
          <w:p>
            <w:r>
              <w:t>.drp</w:t>
            </w:r>
          </w:p>
        </w:tc>
      </w:tr>
    </w:tbl>
    <w:p>
      <w:r>
        <w:t>Fail projek editing (*editing project file*) dihasilkan pada peringkat ini — iaitu fail kerja dalam perisian NLE yang menyimpan struktur bin, timeline, dan pautan (*link*) kepada bahan media yang telah didigitisasi ke dalam hard disk.</w:t>
      </w:r>
    </w:p>
    <w:p>
      <w:r>
        <w:rPr>
          <w:b/>
          <w:sz w:val="26"/>
        </w:rPr>
        <w:t>3. Rumusan</w:t>
      </w:r>
    </w:p>
    <w:p>
      <w:r>
        <w:t>Pengesahan kesesuaian perisian dan perkakasan sebelum digitisasi mengelakkan gangguan teknikal. Fail projek editing yang dihasilkan pada peringkat ini menjadi asas struktur kerja sepanjang proses penyuntingan.</w:t>
      </w:r>
    </w:p>
    <w:p>
      <w:r>
        <w:rPr>
          <w:b/>
          <w:sz w:val="36"/>
        </w:rPr>
        <w:t>Bab 4: Type of Format Material</w:t>
      </w:r>
    </w:p>
    <w:p>
      <w:r>
        <w:rPr>
          <w:b/>
          <w:sz w:val="26"/>
        </w:rPr>
        <w:t>Objektif Pembelajaran</w:t>
      </w:r>
    </w:p>
    <w:p>
      <w:r>
        <w:t>Selepas mempelajari topik ini, pelatih dapat:</w:t>
      </w:r>
    </w:p>
    <w:p>
      <w:pPr>
        <w:pStyle w:val="ListParagraph"/>
      </w:pPr>
      <w:r>
        <w:t>• Membezakan format material tape dan tapeless.</w:t>
      </w:r>
    </w:p>
    <w:p>
      <w:pPr>
        <w:pStyle w:val="ListParagraph"/>
      </w:pPr>
      <w:r>
        <w:t>• Menentukan kaedah pemindahan (capture vs ingest) mengikut jenis format.</w:t>
      </w:r>
    </w:p>
    <w:p>
      <w:r>
        <w:rPr>
          <w:b/>
          <w:sz w:val="26"/>
        </w:rPr>
        <w:t>1. Kategori Format Material</w:t>
      </w:r>
    </w:p>
    <w:tbl>
      <w:tblPr>
        <w:tblStyle w:val="TableGrid"/>
        <w:tblW w:type="auto" w:w="0"/>
        <w:tblLook w:firstColumn="1" w:firstRow="1" w:lastColumn="0" w:lastRow="0" w:noHBand="0" w:noVBand="1" w:val="04A0"/>
      </w:tblPr>
      <w:tblGrid>
        <w:gridCol w:w="3104"/>
        <w:gridCol w:w="3104"/>
        <w:gridCol w:w="3104"/>
      </w:tblGrid>
      <w:tr>
        <w:tc>
          <w:tcPr>
            <w:tcW w:type="dxa" w:w="3104"/>
          </w:tcPr>
          <w:p>
            <w:r>
              <w:t>Kategori</w:t>
            </w:r>
          </w:p>
        </w:tc>
        <w:tc>
          <w:tcPr>
            <w:tcW w:type="dxa" w:w="3104"/>
          </w:tcPr>
          <w:p>
            <w:r>
              <w:t>Contoh</w:t>
            </w:r>
          </w:p>
        </w:tc>
        <w:tc>
          <w:tcPr>
            <w:tcW w:type="dxa" w:w="3104"/>
          </w:tcPr>
          <w:p>
            <w:r>
              <w:t>Kaedah Pemindahan</w:t>
            </w:r>
          </w:p>
        </w:tc>
      </w:tr>
      <w:tr>
        <w:tc>
          <w:tcPr>
            <w:tcW w:type="dxa" w:w="3104"/>
          </w:tcPr>
          <w:p>
            <w:r>
              <w:t>Tape</w:t>
            </w:r>
          </w:p>
        </w:tc>
        <w:tc>
          <w:tcPr>
            <w:tcW w:type="dxa" w:w="3104"/>
          </w:tcPr>
          <w:p>
            <w:r>
              <w:t>HD CAM, Beta, DV CAM</w:t>
            </w:r>
          </w:p>
        </w:tc>
        <w:tc>
          <w:tcPr>
            <w:tcW w:type="dxa" w:w="3104"/>
          </w:tcPr>
          <w:p>
            <w:r>
              <w:t>Capturing* masa nyata (*real-time*) melalui kad tangkapan dan pemain (*deck*) khusus</w:t>
            </w:r>
          </w:p>
        </w:tc>
      </w:tr>
      <w:tr>
        <w:tc>
          <w:tcPr>
            <w:tcW w:type="dxa" w:w="3104"/>
          </w:tcPr>
          <w:p>
            <w:r>
              <w:t>Tapeless</w:t>
            </w:r>
          </w:p>
        </w:tc>
        <w:tc>
          <w:tcPr>
            <w:tcW w:type="dxa" w:w="3104"/>
          </w:tcPr>
          <w:p>
            <w:r>
              <w:t>SDHC Card, P2 Card, SxS Card</w:t>
            </w:r>
          </w:p>
        </w:tc>
        <w:tc>
          <w:tcPr>
            <w:tcW w:type="dxa" w:w="3104"/>
          </w:tcPr>
          <w:p>
            <w:r>
              <w:t>Ingest* — salinan fail (*file copy*) terus tanpa capture berterusan</w:t>
            </w:r>
          </w:p>
        </w:tc>
      </w:tr>
    </w:tbl>
    <w:p>
      <w:r>
        <w:rPr>
          <w:b/>
          <w:sz w:val="26"/>
        </w:rPr>
        <w:t>2. Kepentingan Pengenalpastian Format</w:t>
      </w:r>
    </w:p>
    <w:p>
      <w:r>
        <w:t>Editor perlu mengenal pasti jenis format material yang diterima daripada pasukan penggambaran untuk menentukan kaedah pemindahan yang bersesuaian, kerana kaedah tape memerlukan masa lebih panjang berbanding tapeless yang hanya memerlukan salinan fail.</w:t>
      </w:r>
    </w:p>
    <w:p>
      <w:r>
        <w:rPr>
          <w:b/>
          <w:sz w:val="26"/>
        </w:rPr>
        <w:t>3. Rumusan</w:t>
      </w:r>
    </w:p>
    <w:p>
      <w:r>
        <w:t>Format tape memerlukan proses capture masa nyata melalui deck, manakala tapeless lebih pantas kerana hanya melibatkan salinan fail. Pengenalpastian format yang tepat menentukan kaedah dan tempoh pemindahan data.</w:t>
      </w:r>
    </w:p>
    <w:p>
      <w:r>
        <w:rPr>
          <w:b/>
          <w:sz w:val="36"/>
        </w:rPr>
        <w:t>Bab 5: Type of Conversion Format</w:t>
      </w:r>
    </w:p>
    <w:p>
      <w:r>
        <w:rPr>
          <w:b/>
          <w:sz w:val="26"/>
        </w:rPr>
        <w:t>Objektif Pembelajaran</w:t>
      </w:r>
    </w:p>
    <w:p>
      <w:r>
        <w:t>Selepas mempelajari topik ini, pelatih dapat:</w:t>
      </w:r>
    </w:p>
    <w:p>
      <w:pPr>
        <w:pStyle w:val="ListParagraph"/>
      </w:pPr>
      <w:r>
        <w:t>• Menjelaskan konsep *down conversion*.</w:t>
      </w:r>
    </w:p>
    <w:p>
      <w:pPr>
        <w:pStyle w:val="ListParagraph"/>
      </w:pPr>
      <w:r>
        <w:t>• Membezakan konversi 4K ke HD dan 4K ke SD.</w:t>
      </w:r>
    </w:p>
    <w:p>
      <w:pPr>
        <w:pStyle w:val="ListParagraph"/>
      </w:pPr>
      <w:r>
        <w:t>• Mengenal pasti risiko kualiti semasa konversi.</w:t>
      </w:r>
    </w:p>
    <w:p>
      <w:r>
        <w:rPr>
          <w:b/>
          <w:sz w:val="26"/>
        </w:rPr>
        <w:t>1. Jenis Konversi</w:t>
      </w:r>
    </w:p>
    <w:tbl>
      <w:tblPr>
        <w:tblStyle w:val="TableGrid"/>
        <w:tblW w:type="auto" w:w="0"/>
        <w:tblLook w:firstColumn="1" w:firstRow="1" w:lastColumn="0" w:lastRow="0" w:noHBand="0" w:noVBand="1" w:val="04A0"/>
      </w:tblPr>
      <w:tblGrid>
        <w:gridCol w:w="4656"/>
        <w:gridCol w:w="4656"/>
      </w:tblGrid>
      <w:tr>
        <w:tc>
          <w:tcPr>
            <w:tcW w:type="dxa" w:w="4656"/>
          </w:tcPr>
          <w:p>
            <w:r>
              <w:t>Konversi</w:t>
            </w:r>
          </w:p>
        </w:tc>
        <w:tc>
          <w:tcPr>
            <w:tcW w:type="dxa" w:w="4656"/>
          </w:tcPr>
          <w:p>
            <w:r>
              <w:t>Kegunaan</w:t>
            </w:r>
          </w:p>
        </w:tc>
      </w:tr>
      <w:tr>
        <w:tc>
          <w:tcPr>
            <w:tcW w:type="dxa" w:w="4656"/>
          </w:tcPr>
          <w:p>
            <w:r>
              <w:t>4K → HD (down conversion)</w:t>
            </w:r>
          </w:p>
        </w:tc>
        <w:tc>
          <w:tcPr>
            <w:tcW w:type="dxa" w:w="4656"/>
          </w:tcPr>
          <w:p>
            <w:r>
              <w:t>Projek yang hanya memerlukan output High Definition, menjimatkan storan dan kelajuan proses</w:t>
            </w:r>
          </w:p>
        </w:tc>
      </w:tr>
      <w:tr>
        <w:tc>
          <w:tcPr>
            <w:tcW w:type="dxa" w:w="4656"/>
          </w:tcPr>
          <w:p>
            <w:r>
              <w:t>4K → SD (down conversion)</w:t>
            </w:r>
          </w:p>
        </w:tc>
        <w:tc>
          <w:tcPr>
            <w:tcW w:type="dxa" w:w="4656"/>
          </w:tcPr>
          <w:p>
            <w:r>
              <w:t>Output warisan/lama atau platform yang masih memerlukan Standard Definition</w:t>
            </w:r>
          </w:p>
        </w:tc>
      </w:tr>
    </w:tbl>
    <w:p>
      <w:r>
        <w:rPr>
          <w:b/>
          <w:sz w:val="26"/>
        </w:rPr>
        <w:t>2. Risiko Semasa Konversi</w:t>
      </w:r>
    </w:p>
    <w:p>
      <w:r>
        <w:t>Proses ini perlu dilakukan dengan berhati-hati untuk mengelakkan kehilangan kualiti berlebihan (*over-compression*) atau ketidaksepadanan nisbah aspek semasa penurunan resolusi.</w:t>
      </w:r>
    </w:p>
    <w:p>
      <w:r>
        <w:rPr>
          <w:b/>
          <w:sz w:val="26"/>
        </w:rPr>
        <w:t>3. Rumusan</w:t>
      </w:r>
    </w:p>
    <w:p>
      <w:r>
        <w:t>Down conversion menjimatkan storan dan mematuhi keperluan output, tetapi Editor mesti berhati-hati mengelakkan over-compression atau ketidaksepadanan aspect ratio semasa proses ini.</w:t>
      </w:r>
    </w:p>
    <w:p>
      <w:r>
        <w:rPr>
          <w:b/>
          <w:sz w:val="36"/>
        </w:rPr>
        <w:t>Bab 6: Type of Aspect Ratio Format</w:t>
      </w:r>
    </w:p>
    <w:p>
      <w:r>
        <w:rPr>
          <w:b/>
          <w:sz w:val="26"/>
        </w:rPr>
        <w:t>Objektif Pembelajaran</w:t>
      </w:r>
    </w:p>
    <w:p>
      <w:r>
        <w:t>Selepas mempelajari topik ini, pelatih dapat:</w:t>
      </w:r>
    </w:p>
    <w:p>
      <w:pPr>
        <w:pStyle w:val="ListParagraph"/>
      </w:pPr>
      <w:r>
        <w:t>• Menyenaraikan jenis-jenis aspect ratio dan kegunaannya.</w:t>
      </w:r>
    </w:p>
    <w:p>
      <w:pPr>
        <w:pStyle w:val="ListParagraph"/>
      </w:pPr>
      <w:r>
        <w:t>• Menjelaskan kesan ketidaksepadanan aspect ratio terhadap kualiti visual akhir.</w:t>
      </w:r>
    </w:p>
    <w:p>
      <w:r>
        <w:rPr>
          <w:b/>
          <w:sz w:val="26"/>
        </w:rPr>
        <w:t>1. Jenis Aspect Ratio</w:t>
      </w:r>
    </w:p>
    <w:tbl>
      <w:tblPr>
        <w:tblStyle w:val="TableGrid"/>
        <w:tblW w:type="auto" w:w="0"/>
        <w:tblLook w:firstColumn="1" w:firstRow="1" w:lastColumn="0" w:lastRow="0" w:noHBand="0" w:noVBand="1" w:val="04A0"/>
      </w:tblPr>
      <w:tblGrid>
        <w:gridCol w:w="4656"/>
        <w:gridCol w:w="4656"/>
      </w:tblGrid>
      <w:tr>
        <w:tc>
          <w:tcPr>
            <w:tcW w:type="dxa" w:w="4656"/>
          </w:tcPr>
          <w:p>
            <w:r>
              <w:t>Aspect Ratio</w:t>
            </w:r>
          </w:p>
        </w:tc>
        <w:tc>
          <w:tcPr>
            <w:tcW w:type="dxa" w:w="4656"/>
          </w:tcPr>
          <w:p>
            <w:r>
              <w:t>Kegunaan Lazim</w:t>
            </w:r>
          </w:p>
        </w:tc>
      </w:tr>
      <w:tr>
        <w:tc>
          <w:tcPr>
            <w:tcW w:type="dxa" w:w="4656"/>
          </w:tcPr>
          <w:p>
            <w:r>
              <w:t>4:3</w:t>
            </w:r>
          </w:p>
        </w:tc>
        <w:tc>
          <w:tcPr>
            <w:tcW w:type="dxa" w:w="4656"/>
          </w:tcPr>
          <w:p>
            <w:r>
              <w:t>Format TV lama/warisan</w:t>
            </w:r>
          </w:p>
        </w:tc>
      </w:tr>
      <w:tr>
        <w:tc>
          <w:tcPr>
            <w:tcW w:type="dxa" w:w="4656"/>
          </w:tcPr>
          <w:p>
            <w:r>
              <w:t>16:9</w:t>
            </w:r>
          </w:p>
        </w:tc>
        <w:tc>
          <w:tcPr>
            <w:tcW w:type="dxa" w:w="4656"/>
          </w:tcPr>
          <w:p>
            <w:r>
              <w:t>Standard HD/TV moden, web</w:t>
            </w:r>
          </w:p>
        </w:tc>
      </w:tr>
      <w:tr>
        <w:tc>
          <w:tcPr>
            <w:tcW w:type="dxa" w:w="4656"/>
          </w:tcPr>
          <w:p>
            <w:r>
              <w:t>Cinemascope</w:t>
            </w:r>
          </w:p>
        </w:tc>
        <w:tc>
          <w:tcPr>
            <w:tcW w:type="dxa" w:w="4656"/>
          </w:tcPr>
          <w:p>
            <w:r>
              <w:t>Filem sinema (lebar panorama)</w:t>
            </w:r>
          </w:p>
        </w:tc>
      </w:tr>
      <w:tr>
        <w:tc>
          <w:tcPr>
            <w:tcW w:type="dxa" w:w="4656"/>
          </w:tcPr>
          <w:p>
            <w:r>
              <w:t>Anamorphic</w:t>
            </w:r>
          </w:p>
        </w:tc>
        <w:tc>
          <w:tcPr>
            <w:tcW w:type="dxa" w:w="4656"/>
          </w:tcPr>
          <w:p>
            <w:r>
              <w:t>Lensa filem yang memampatkan imej lebar ke dalam bingkai standard</w:t>
            </w:r>
          </w:p>
        </w:tc>
      </w:tr>
      <w:tr>
        <w:tc>
          <w:tcPr>
            <w:tcW w:type="dxa" w:w="4656"/>
          </w:tcPr>
          <w:p>
            <w:r>
              <w:t>Flat screen</w:t>
            </w:r>
          </w:p>
        </w:tc>
        <w:tc>
          <w:tcPr>
            <w:tcW w:type="dxa" w:w="4656"/>
          </w:tcPr>
          <w:p>
            <w:r>
              <w:t>Format sinema standard (1.85:1)</w:t>
            </w:r>
          </w:p>
        </w:tc>
      </w:tr>
      <w:tr>
        <w:tc>
          <w:tcPr>
            <w:tcW w:type="dxa" w:w="4656"/>
          </w:tcPr>
          <w:p>
            <w:r>
              <w:t>Letter box</w:t>
            </w:r>
          </w:p>
        </w:tc>
        <w:tc>
          <w:tcPr>
            <w:tcW w:type="dxa" w:w="4656"/>
          </w:tcPr>
          <w:p>
            <w:r>
              <w:t>Paparan filem lebar pada skrin nisbah lebih sempit (jalur hitam atas/bawah)</w:t>
            </w:r>
          </w:p>
        </w:tc>
      </w:tr>
      <w:tr>
        <w:tc>
          <w:tcPr>
            <w:tcW w:type="dxa" w:w="4656"/>
          </w:tcPr>
          <w:p>
            <w:r>
              <w:t>Wide screen</w:t>
            </w:r>
          </w:p>
        </w:tc>
        <w:tc>
          <w:tcPr>
            <w:tcW w:type="dxa" w:w="4656"/>
          </w:tcPr>
          <w:p>
            <w:r>
              <w:t>Format lebar umum untuk televisyen dan filem moden</w:t>
            </w:r>
          </w:p>
        </w:tc>
      </w:tr>
    </w:tbl>
    <w:p>
      <w:r>
        <w:rPr>
          <w:b/>
          <w:sz w:val="26"/>
        </w:rPr>
        <w:t>2. Kepentingan Pengesahan Aspect Ratio</w:t>
      </w:r>
    </w:p>
    <w:p>
      <w:r>
        <w:t>Editor mesti mengenal pasti nisbah aspek sumber dan output projek sebelum proses digitisasi/capturing selesai, kerana ketidaksepadanan nisbah aspek yang tidak dikesan awal akan menyebabkan imej terherot atau terpotong pada peringkat online edit (rujuk CU C05).</w:t>
      </w:r>
    </w:p>
    <w:p>
      <w:r>
        <w:rPr>
          <w:b/>
          <w:sz w:val="26"/>
        </w:rPr>
        <w:t>3. Rumusan</w:t>
      </w:r>
    </w:p>
    <w:p>
      <w:r>
        <w:t>Aspect ratio menentukan bentuk paparan akhir video. Pengesahan awal mengelakkan kerja pembetulan tambahan dan kerosakan visual pada peringkat online edit.</w:t>
      </w:r>
    </w:p>
    <w:p>
      <w:r>
        <w:rPr>
          <w:b/>
        </w:rPr>
        <w:t>SOALAN:</w:t>
      </w:r>
    </w:p>
    <w:p>
      <w:pPr>
        <w:pStyle w:val="ListParagraph"/>
      </w:pPr>
      <w:r>
        <w:t>• Soalan: Apakah perbezaan antara soft telecine dan hard telecine, dan mengapa perbezaan ini penting bagi Editor?</w:t>
      </w:r>
    </w:p>
    <w:p>
      <w:r>
        <w:t>Jawapan model: Soft telecine mengekalkan kadar bingkai filem asal dalam metadata untuk fleksibiliti pemprosesan lanjut, manakala hard telecine "membakar" penukaran kadar bingkai terus ke dalam fail video; Editor perlu tahu kaedah mana digunakan kerana ia mempengaruhi kebolehubahan kelajuan/kualiti semasa proses seterusnya.</w:t>
      </w:r>
    </w:p>
    <w:p>
      <w:pPr>
        <w:pStyle w:val="ListParagraph"/>
      </w:pPr>
      <w:r>
        <w:t>• Soalan: Nyatakan dua contoh format material tapeless dan jelaskan mengapa proses pemindahannya lebih pantas berbanding format tape.</w:t>
      </w:r>
    </w:p>
    <w:p>
      <w:r>
        <w:t>Jawapan model: Contoh: SDHC Card dan P2 Card. Ia lebih pantas kerana data disalin terus sebagai fail (ingest/file copy) tanpa perlu proses capture masa nyata melalui deck seperti format tape.</w:t>
      </w:r>
    </w:p>
    <w:p>
      <w:pPr>
        <w:pStyle w:val="ListParagraph"/>
      </w:pPr>
      <w:r>
        <w:t>• Soalan: Mengapakah penentuan aspect ratio yang tepat penting sebelum proses digitisasi selesai?</w:t>
      </w:r>
    </w:p>
    <w:p>
      <w:r>
        <w:t>Jawapan model: Ketidaksepadanan aspect ratio yang tidak dikesan awal boleh menyebabkan imej terherot atau terpotong pada peringkat online edit kemudian, menjejaskan kualiti visual akhir dan memerlukan kerja pembetulan tambahan.</w:t>
      </w:r>
    </w:p>
    <w:p>
      <w:r>
        <w:rPr>
          <w:b/>
        </w:rPr>
        <w:t>RUJUKAN:</w:t>
      </w:r>
    </w:p>
    <w:p>
      <w:r>
        <w:t>Rujukan CoCU (verbatim daripada 00-noss-extract.md):</w:t>
      </w:r>
    </w:p>
    <w:p>
      <w:pPr>
        <w:pStyle w:val="ListParagraph"/>
      </w:pPr>
      <w:r>
        <w:t>• Wells, P. (2007). *Digital video editing: A user's guide* (1st ed.). Crowood Press. ISBN 978-1861269522</w:t>
      </w:r>
    </w:p>
    <w:p>
      <w:pPr>
        <w:pStyle w:val="ListParagraph"/>
      </w:pPr>
      <w:r>
        <w:t>• Kauffmann, S., &amp; Kennedy, A. (2012). *Avid editing: A guide for beginning and intermediate users* (4th ed.). Focal Press. ISBN 978-0240818566</w:t>
      </w:r>
    </w:p>
    <w:p>
      <w:pPr>
        <w:pStyle w:val="ListParagraph"/>
      </w:pPr>
      <w:r>
        <w:t>• Dancyger, K. (2010). *The technique of film and video editing: History, theory, and practice* (5th ed.). Focal Press. ISBN 978-0240813974</w:t>
      </w:r>
    </w:p>
    <w:p>
      <w:pPr>
        <w:pStyle w:val="ListParagraph"/>
      </w:pPr>
      <w:r>
        <w:t>• Chandler, G. (2009). *Film editing: Great cuts every filmmaker and movie lover must know* (1st ed.). Michael Wiese Productions. ISBN 978-1932907629</w:t>
      </w:r>
    </w:p>
    <w:p>
      <w:pPr>
        <w:pStyle w:val="ListParagraph"/>
      </w:pPr>
      <w:r>
        <w:t>• Pearlman, K. (2009). *Cutting rhythms: Shaping the film edit* (1st ed.). Focal Press. ISBN 978-0240810140</w:t>
      </w:r>
    </w:p>
    <w:p>
      <w:pPr>
        <w:pStyle w:val="ListParagraph"/>
      </w:pPr>
      <w:r>
        <w:t>• Coleman, L., &amp; Friedberg, D. (2010). *Make the cut: A guide to becoming a successful assistant editor in film and TV* (1st ed.). Focal Press. ISBN 978-0240813981</w:t>
      </w:r>
    </w:p>
    <w:p>
      <w:pPr>
        <w:pStyle w:val="ListParagraph"/>
      </w:pPr>
      <w:r>
        <w:t>• Rosenberg, J. (2010). *The healthy edit: Creative editing techniques for perfecting your movie* (1st ed.). Focal Press. ISBN 978-0240814469</w:t>
      </w:r>
    </w:p>
    <w:p>
      <w:r>
        <w:t>Rujukan tambahan (industri, disahkan wujud):</w:t>
      </w:r>
    </w:p>
    <w:p>
      <w:pPr>
        <w:pStyle w:val="ListParagraph"/>
      </w:pPr>
      <w:r>
        <w:t>• Ohanian, T. A., &amp; Phillips, M. E. (2000). *Digital Filmmaking: The Changing Art and Craft of Making Motion Pictures* (2nd ed.). Focal Press.</w:t>
      </w:r>
    </w:p>
    <w:p>
      <w:pPr>
        <w:pStyle w:val="ListParagraph"/>
      </w:pPr>
      <w:r>
        <w:t>• Wohl, M. (2002). *Editing Techniques with Final Cut Pro*. Peachpit Press.</w:t>
      </w:r>
    </w:p>
    <w:p>
      <w:pPr>
        <w:pStyle w:val="ListParagraph"/>
      </w:pPr>
      <w:r>
        <w:t>• Long, B., &amp; Schenk, S. (2010). *The Digital Filmmaking Handbook* (4th ed.). Course Technology PTR.</w:t>
      </w:r>
    </w:p>
    <w:p>
      <w:r>
        <w:t>---</w:t>
      </w:r>
    </w:p>
    <w:p>
      <w:r>
        <w:t>⟪TBD: Nama syarikat/studio Bakat ADI — perlu disahkan Jay sebelum hantar Lampiran 5⟫</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