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IT-072-3:2012-C03-W04 / Apply Audio Visual (AV) elements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Elemen Audio Visual (AV) dalam Sequence Timeline Offline</w:t>
      </w:r>
    </w:p>
    <w:p/>
    <w:p>
      <w:r>
        <w:rPr>
          <w:b/>
        </w:rPr>
        <w:t>TUJUAN:</w:t>
      </w:r>
    </w:p>
    <w:p>
      <w:r>
        <w:t>Nota Pembelajaran ini bertujuan untuk membolehkan Bakat memahami jenis-jenis elemen Audio Visual (AV) dan spesifikasi berkaitan, serta mengaplikasikannya ke dalam sequence timeline offline, merangkumi topik Audio Visual (AV) elements dan Audio Visual (AV) specification.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p>
      <w:r>
        <w:rPr>
          <w:b/>
        </w:rPr>
        <w:t>PENERANGAN:</w:t>
      </w:r>
    </w:p>
    <w:p>
      <w:r>
        <w:rPr>
          <w:b/>
          <w:sz w:val="36"/>
        </w:rPr>
        <w:t>Bab 1: Audio Visual (AV) Elements</w:t>
      </w:r>
    </w:p>
    <w:p>
      <w:r>
        <w:rPr>
          <w:b/>
          <w:sz w:val="26"/>
        </w:rPr>
        <w:t>Objektif Pembelajaran</w:t>
      </w:r>
    </w:p>
    <w:p>
      <w:r>
        <w:t>Selepas mempelajari topik ini, pelatih dapat:</w:t>
      </w:r>
    </w:p>
    <w:p>
      <w:pPr>
        <w:pStyle w:val="ListParagraph"/>
      </w:pPr>
      <w:r>
        <w:t>• Menyenaraikan lima kategori elemen AV yang boleh diaplikasikan pada sequence offline.</w:t>
      </w:r>
    </w:p>
    <w:p>
      <w:pPr>
        <w:pStyle w:val="ListParagraph"/>
      </w:pPr>
      <w:r>
        <w:t>• Memberikan contoh setiap kategori elemen AV.</w:t>
      </w:r>
    </w:p>
    <w:p>
      <w:pPr>
        <w:pStyle w:val="ListParagraph"/>
      </w:pPr>
      <w:r>
        <w:t>• Menjelaskan sebab elemen AV pada peringkat offline dalam bentuk placeholder/temp.</w:t>
      </w:r>
    </w:p>
    <w:p>
      <w:r>
        <w:rPr>
          <w:b/>
          <w:sz w:val="26"/>
        </w:rPr>
        <w:t>1. Lima Kategori Elemen AV</w:t>
      </w:r>
    </w:p>
    <w:p>
      <w:r>
        <w:t>Elemen AV ialah komponen tambahan (selain rakaman video dan dialog asal) yang disisipkan ke dalam sequence timeline untuk memperkukuh naratif dan kualiti produksi pada peringkat offline.</w:t>
      </w:r>
    </w:p>
    <w:tbl>
      <w:tblPr>
        <w:tblStyle w:val="TableGrid"/>
        <w:tblW w:type="auto" w:w="0"/>
        <w:tblLook w:firstColumn="1" w:firstRow="1" w:lastColumn="0" w:lastRow="0" w:noHBand="0" w:noVBand="1" w:val="04A0"/>
      </w:tblPr>
      <w:tblGrid>
        <w:gridCol w:w="3104"/>
        <w:gridCol w:w="3104"/>
        <w:gridCol w:w="3104"/>
      </w:tblGrid>
      <w:tr>
        <w:tc>
          <w:tcPr>
            <w:tcW w:type="dxa" w:w="3104"/>
          </w:tcPr>
          <w:p>
            <w:r>
              <w:t>Elemen</w:t>
            </w:r>
          </w:p>
        </w:tc>
        <w:tc>
          <w:tcPr>
            <w:tcW w:type="dxa" w:w="3104"/>
          </w:tcPr>
          <w:p>
            <w:r>
              <w:t>Penerangan</w:t>
            </w:r>
          </w:p>
        </w:tc>
        <w:tc>
          <w:tcPr>
            <w:tcW w:type="dxa" w:w="3104"/>
          </w:tcPr>
          <w:p>
            <w:r>
              <w:t>Contoh</w:t>
            </w:r>
          </w:p>
        </w:tc>
      </w:tr>
      <w:tr>
        <w:tc>
          <w:tcPr>
            <w:tcW w:type="dxa" w:w="3104"/>
          </w:tcPr>
          <w:p>
            <w:r>
              <w:t>Visual effect (VFX)</w:t>
            </w:r>
          </w:p>
        </w:tc>
        <w:tc>
          <w:tcPr>
            <w:tcW w:type="dxa" w:w="3104"/>
          </w:tcPr>
          <w:p>
            <w:r>
              <w:t>Kesan visual digital yang ditambah atau diubah suai pada footage</w:t>
            </w:r>
          </w:p>
        </w:tc>
        <w:tc>
          <w:tcPr>
            <w:tcW w:type="dxa" w:w="3104"/>
          </w:tcPr>
          <w:p>
            <w:r>
              <w:t>Green screen composite, kesan letupan digital, penyingkiran objek</w:t>
            </w:r>
          </w:p>
        </w:tc>
      </w:tr>
      <w:tr>
        <w:tc>
          <w:tcPr>
            <w:tcW w:type="dxa" w:w="3104"/>
          </w:tcPr>
          <w:p>
            <w:r>
              <w:t>Audio effect / foley</w:t>
            </w:r>
          </w:p>
        </w:tc>
        <w:tc>
          <w:tcPr>
            <w:tcW w:type="dxa" w:w="3104"/>
          </w:tcPr>
          <w:p>
            <w:r>
              <w:t>Bunyi tambahan yang meniru aksi visual untuk realisme</w:t>
            </w:r>
          </w:p>
        </w:tc>
        <w:tc>
          <w:tcPr>
            <w:tcW w:type="dxa" w:w="3104"/>
          </w:tcPr>
          <w:p>
            <w:r>
              <w:t>Bunyi langkah kaki, bunyi pintu, bunyi kertas</w:t>
            </w:r>
          </w:p>
        </w:tc>
      </w:tr>
      <w:tr>
        <w:tc>
          <w:tcPr>
            <w:tcW w:type="dxa" w:w="3104"/>
          </w:tcPr>
          <w:p>
            <w:r>
              <w:t>Music background</w:t>
            </w:r>
          </w:p>
        </w:tc>
        <w:tc>
          <w:tcPr>
            <w:tcW w:type="dxa" w:w="3104"/>
          </w:tcPr>
          <w:p>
            <w:r>
              <w:t>Muzik latar (temp music pada peringkat offline) yang menyokong mood adegan</w:t>
            </w:r>
          </w:p>
        </w:tc>
        <w:tc>
          <w:tcPr>
            <w:tcW w:type="dxa" w:w="3104"/>
          </w:tcPr>
          <w:p>
            <w:r>
              <w:t>Muzik tegang untuk adegan aksi, muzik lembut untuk adegan emosi</w:t>
            </w:r>
          </w:p>
        </w:tc>
      </w:tr>
      <w:tr>
        <w:tc>
          <w:tcPr>
            <w:tcW w:type="dxa" w:w="3104"/>
          </w:tcPr>
          <w:p>
            <w:r>
              <w:t>Subtitle / language</w:t>
            </w:r>
          </w:p>
        </w:tc>
        <w:tc>
          <w:tcPr>
            <w:tcW w:type="dxa" w:w="3104"/>
          </w:tcPr>
          <w:p>
            <w:r>
              <w:t>Teks terjemahan atau transkripsi dialog</w:t>
            </w:r>
          </w:p>
        </w:tc>
        <w:tc>
          <w:tcPr>
            <w:tcW w:type="dxa" w:w="3104"/>
          </w:tcPr>
          <w:p>
            <w:r>
              <w:t>Sarikata Bahasa Melayu/Inggeris untuk dialog asing</w:t>
            </w:r>
          </w:p>
        </w:tc>
      </w:tr>
      <w:tr>
        <w:tc>
          <w:tcPr>
            <w:tcW w:type="dxa" w:w="3104"/>
          </w:tcPr>
          <w:p>
            <w:r>
              <w:t>Supers / title</w:t>
            </w:r>
          </w:p>
        </w:tc>
        <w:tc>
          <w:tcPr>
            <w:tcW w:type="dxa" w:w="3104"/>
          </w:tcPr>
          <w:p>
            <w:r>
              <w:t>Teks grafik di atas visual seperti nama watak, lokasi, atau tarikh</w:t>
            </w:r>
          </w:p>
        </w:tc>
        <w:tc>
          <w:tcPr>
            <w:tcW w:type="dxa" w:w="3104"/>
          </w:tcPr>
          <w:p>
            <w:r>
              <w:t>"3 Tahun Kemudian", nama jurucakap dalam wawancara</w:t>
            </w:r>
          </w:p>
        </w:tc>
      </w:tr>
    </w:tbl>
    <w:p>
      <w:r>
        <w:rPr>
          <w:b/>
          <w:sz w:val="26"/>
        </w:rPr>
        <w:t>2. Contoh Studio: Penggunaan Placeholder</w:t>
      </w:r>
    </w:p>
    <w:p>
      <w: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r>
        <w:rPr>
          <w:b/>
          <w:sz w:val="26"/>
        </w:rPr>
        <w:t>Rumusan</w:t>
      </w:r>
    </w:p>
    <w:p>
      <w:r>
        <w:t>Lima kategori elemen AV — VFX, audio effect, music, subtitle, dan supers/title — diaplikasikan sebagai placeholder pada peringkat offline untuk membantu Director memvisualisasikan hasil akhir tanpa memerlukan versi akhir berkualiti tinggi.</w:t>
      </w:r>
    </w:p>
    <w:p>
      <w:r>
        <w:rPr>
          <w:b/>
          <w:sz w:val="36"/>
        </w:rPr>
        <w:t>Bab 2: Audio Visual (AV) Specification</w:t>
      </w:r>
    </w:p>
    <w:p>
      <w:r>
        <w:rPr>
          <w:b/>
          <w:sz w:val="26"/>
        </w:rPr>
        <w:t>Objektif Pembelajaran</w:t>
      </w:r>
    </w:p>
    <w:p>
      <w:r>
        <w:t>Selepas mempelajari topik ini, pelatih dapat:</w:t>
      </w:r>
    </w:p>
    <w:p>
      <w:pPr>
        <w:pStyle w:val="ListParagraph"/>
      </w:pPr>
      <w:r>
        <w:t>• Membezakan spesifikasi Broadcast dan Digital Cinema Audio (DCA).</w:t>
      </w:r>
    </w:p>
    <w:p>
      <w:pPr>
        <w:pStyle w:val="ListParagraph"/>
      </w:pPr>
      <w:r>
        <w:t>• Mengaitkan spesifikasi output projek dengan pemilihan format placeholder AV.</w:t>
      </w:r>
    </w:p>
    <w:p>
      <w:pPr>
        <w:pStyle w:val="ListParagraph"/>
      </w:pPr>
      <w:r>
        <w:t>• Mengenal pasti risiko memilih spesifikasi yang salah pada peringkat offline.</w:t>
      </w:r>
    </w:p>
    <w:p>
      <w:r>
        <w:rPr>
          <w:b/>
          <w:sz w:val="26"/>
        </w:rPr>
        <w:t>1. Perbandingan Spesifikasi AV</w:t>
      </w:r>
    </w:p>
    <w:tbl>
      <w:tblPr>
        <w:tblStyle w:val="TableGrid"/>
        <w:tblW w:type="auto" w:w="0"/>
        <w:tblLook w:firstColumn="1" w:firstRow="1" w:lastColumn="0" w:lastRow="0" w:noHBand="0" w:noVBand="1" w:val="04A0"/>
      </w:tblPr>
      <w:tblGrid>
        <w:gridCol w:w="4656"/>
        <w:gridCol w:w="4656"/>
      </w:tblGrid>
      <w:tr>
        <w:tc>
          <w:tcPr>
            <w:tcW w:type="dxa" w:w="4656"/>
          </w:tcPr>
          <w:p>
            <w:r>
              <w:t>Spesifikasi</w:t>
            </w:r>
          </w:p>
        </w:tc>
        <w:tc>
          <w:tcPr>
            <w:tcW w:type="dxa" w:w="4656"/>
          </w:tcPr>
          <w:p>
            <w:r>
              <w:t>Ciri Utama</w:t>
            </w:r>
          </w:p>
        </w:tc>
      </w:tr>
      <w:tr>
        <w:tc>
          <w:tcPr>
            <w:tcW w:type="dxa" w:w="4656"/>
          </w:tcPr>
          <w:p>
            <w:r>
              <w:t>Broadcast</w:t>
            </w:r>
          </w:p>
        </w:tc>
        <w:tc>
          <w:tcPr>
            <w:tcW w:type="dxa" w:w="4656"/>
          </w:tcPr>
          <w:p>
            <w:r>
              <w:t>Mematuhi piawaian penyiaran TV — had loudness audio, format resolusi dan frame rate siaran, keselamatan warna/luminan untuk paparan TV</w:t>
            </w:r>
          </w:p>
        </w:tc>
      </w:tr>
      <w:tr>
        <w:tc>
          <w:tcPr>
            <w:tcW w:type="dxa" w:w="4656"/>
          </w:tcPr>
          <w:p>
            <w:r>
              <w:t>Digital Cinema Audio (DCA)</w:t>
            </w:r>
          </w:p>
        </w:tc>
        <w:tc>
          <w:tcPr>
            <w:tcW w:type="dxa" w:w="4656"/>
          </w:tcPr>
          <w:p>
            <w:r>
              <w:t>Spesifikasi audio untuk pawagam digital — biasanya format multi-channel (5.1/7.1 surround) dan piawaian kualiti/loudness lebih tinggi</w:t>
            </w:r>
          </w:p>
        </w:tc>
      </w:tr>
    </w:tbl>
    <w:p>
      <w:r>
        <w:rPr>
          <w:b/>
          <w:sz w:val="26"/>
        </w:rPr>
        <w:t>2. Contoh Studio: Kesan Kesilapan Spesifikasi</w:t>
      </w:r>
    </w:p>
    <w:p>
      <w: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r>
        <w:rPr>
          <w:b/>
          <w:sz w:val="26"/>
        </w:rPr>
        <w:t>Rumusan</w:t>
      </w:r>
    </w:p>
    <w:p>
      <w:r>
        <w:t>Spesifikasi Broadcast dan DCA menuntut format audio/video yang berbeza; mengenal pasti spesifikasi output projek terlebih dahulu mengelakkan kerja tambahan pada peringkat online mixing.</w:t>
      </w:r>
    </w:p>
    <w:p>
      <w:r>
        <w:rPr>
          <w:b/>
        </w:rPr>
        <w:t>SOALAN:</w:t>
      </w:r>
    </w:p>
    <w:p>
      <w:pPr>
        <w:pStyle w:val="ListParagraph"/>
      </w:pPr>
      <w:r>
        <w:t>• Soalan: Senaraikan lima kategori elemen AV yang boleh diaplikasikan pada sequence timeline offline.</w:t>
      </w:r>
    </w:p>
    <w:p>
      <w:r>
        <w:t>Jawapan model: Visual effect, audio effect/foley, music background, subtitle/language, dan supers/title.</w:t>
      </w:r>
    </w:p>
    <w:p>
      <w:pPr>
        <w:pStyle w:val="ListParagraph"/>
      </w:pPr>
      <w:r>
        <w:t>• Soalan: Mengapakah elemen AV pada peringkat offline biasanya hanya dalam bentuk "temp" atau placeholder?</w:t>
      </w:r>
    </w:p>
    <w:p>
      <w: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pPr>
        <w:pStyle w:val="ListParagraph"/>
      </w:pPr>
      <w:r>
        <w:t>• Soalan: Apakah perbezaan utama antara spesifikasi Broadcast dan Digital Cinema Audio (DCA)?</w:t>
      </w:r>
    </w:p>
    <w:p>
      <w: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Holman, T. (2010). *Sound for film and television* (3rd ed.). Focal Press.</w:t>
      </w:r>
    </w:p>
    <w:p>
      <w:pPr>
        <w:pStyle w:val="ListParagraph"/>
      </w:pPr>
      <w:r>
        <w:t>• Ament, V. T. (2014). *The foley grail: The art of performing sound for film, games, and animation* (2nd ed.). Focal Press.</w:t>
      </w:r>
    </w:p>
    <w:p>
      <w:pPr>
        <w:pStyle w:val="ListParagraph"/>
      </w:pPr>
      <w:r>
        <w:t>• Ascher, S., &amp; Pincus, E. (2012). *The filmmaker's handbook: A comprehensive guide for the digital age* (4th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