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IT-072-3:2012-C03 / OFFLINE VISUAL EDITING</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IT-072-3:2012-C03-W05 / Produce final offline</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IT-072-3:2012-C03/NP(5/5)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Penghasilan Final Offline dan Eksport ke Edit-Decision-List (EDL)</w:t>
      </w:r>
    </w:p>
    <w:p/>
    <w:p>
      <w:r>
        <w:rPr>
          <w:b/>
        </w:rPr>
        <w:t>TUJUAN:</w:t>
      </w:r>
    </w:p>
    <w:p>
      <w:r>
        <w:t>Nota Pembelajaran ini bertujuan untuk membolehkan Bakat memahami proses mengesahkan dan menghasilkan final offline sebelum diteruskan ke peringkat online editing, merangkumi topik offline timeline project, Edit-Decision-List (EDL), proses import/eksport XML/AAF, dan editing software. Selepas melalui nota ini, Bakat dijangka dapat mengesahkan projek offline mengikut keperluan online editing, mengesahkan rough cut bersama Director mengikut keperluan projek, dan mengeksport final offline kepada Edit-Decision-List (EDL) mengikut keperluan projek — selaras dengan Kriteria Penilaian CoCU CU3-WA5.</w:t>
      </w:r>
    </w:p>
    <w:p/>
    <w:p>
      <w:r>
        <w:rPr>
          <w:b/>
        </w:rPr>
        <w:t>PENERANGAN:</w:t>
      </w:r>
    </w:p>
    <w:p>
      <w:r>
        <w:rPr>
          <w:b/>
          <w:sz w:val="36"/>
        </w:rPr>
        <w:t>Bab 1: Offline Timeline Project</w:t>
      </w:r>
    </w:p>
    <w:p>
      <w:r>
        <w:rPr>
          <w:b/>
          <w:sz w:val="26"/>
        </w:rPr>
        <w:t>Objektif Pembelajaran</w:t>
      </w:r>
    </w:p>
    <w:p>
      <w:r>
        <w:t>Selepas mempelajari topik ini, pelatih dapat:</w:t>
      </w:r>
    </w:p>
    <w:p>
      <w:pPr>
        <w:pStyle w:val="ListParagraph"/>
      </w:pPr>
      <w:r>
        <w:t>• Menyenaraikan perkara yang perlu disemak dalam semakan menyeluruh (final review).</w:t>
      </w:r>
    </w:p>
    <w:p>
      <w:pPr>
        <w:pStyle w:val="ListParagraph"/>
      </w:pPr>
      <w:r>
        <w:t>• Menjelaskan kepentingan mengunci (lock) projek sebelum ke online editing.</w:t>
      </w:r>
    </w:p>
    <w:p>
      <w:pPr>
        <w:pStyle w:val="ListParagraph"/>
      </w:pPr>
      <w:r>
        <w:t>• Mengaitkan kos perubahan struktur naratif selepas projek dikunci.</w:t>
      </w:r>
    </w:p>
    <w:p>
      <w:r>
        <w:rPr>
          <w:b/>
          <w:sz w:val="26"/>
        </w:rPr>
        <w:t>1. Semakan Menyeluruh (Final Review)</w:t>
      </w:r>
    </w:p>
    <w:p>
      <w:r>
        <w:t>Sebelum sesuatu sequence dianggap "final offline", Editor perlu melaksanakan semakan menyeluruh terhadap keseluruhan timeline projek offline.</w:t>
      </w:r>
    </w:p>
    <w:tbl>
      <w:tblPr>
        <w:tblStyle w:val="TableGrid"/>
        <w:tblW w:type="auto" w:w="0"/>
        <w:tblLook w:firstColumn="1" w:firstRow="1" w:lastColumn="0" w:lastRow="0" w:noHBand="0" w:noVBand="1" w:val="04A0"/>
      </w:tblPr>
      <w:tblGrid>
        <w:gridCol w:w="4656"/>
        <w:gridCol w:w="4656"/>
      </w:tblGrid>
      <w:tr>
        <w:tc>
          <w:tcPr>
            <w:tcW w:type="dxa" w:w="4656"/>
          </w:tcPr>
          <w:p>
            <w:r>
              <w:t>Perkara Disemak</w:t>
            </w:r>
          </w:p>
        </w:tc>
        <w:tc>
          <w:tcPr>
            <w:tcW w:type="dxa" w:w="4656"/>
          </w:tcPr>
          <w:p>
            <w:r>
              <w:t>Tujuan</w:t>
            </w:r>
          </w:p>
        </w:tc>
      </w:tr>
      <w:tr>
        <w:tc>
          <w:tcPr>
            <w:tcW w:type="dxa" w:w="4656"/>
          </w:tcPr>
          <w:p>
            <w:r>
              <w:t>Ketepatan turutan scene mengikut skrip dikemas kini</w:t>
            </w:r>
          </w:p>
        </w:tc>
        <w:tc>
          <w:tcPr>
            <w:tcW w:type="dxa" w:w="4656"/>
          </w:tcPr>
          <w:p>
            <w:r>
              <w:t>Memastikan pindaan semasa pembaikan WA3 telah diambil kira</w:t>
            </w:r>
          </w:p>
        </w:tc>
      </w:tr>
      <w:tr>
        <w:tc>
          <w:tcPr>
            <w:tcW w:type="dxa" w:w="4656"/>
          </w:tcPr>
          <w:p>
            <w:r>
              <w:t>Kesempurnaan elemen AV placeholder (WA4)</w:t>
            </w:r>
          </w:p>
        </w:tc>
        <w:tc>
          <w:tcPr>
            <w:tcW w:type="dxa" w:w="4656"/>
          </w:tcPr>
          <w:p>
            <w:r>
              <w:t>Memastikan VFX, audio, music, subtitle, supers lengkap</w:t>
            </w:r>
          </w:p>
        </w:tc>
      </w:tr>
      <w:tr>
        <w:tc>
          <w:tcPr>
            <w:tcW w:type="dxa" w:w="4656"/>
          </w:tcPr>
          <w:p>
            <w:r>
              <w:t>Ketiadaan jurang (gap) pada track video/audio</w:t>
            </w:r>
          </w:p>
        </w:tc>
        <w:tc>
          <w:tcPr>
            <w:tcW w:type="dxa" w:w="4656"/>
          </w:tcPr>
          <w:p>
            <w:r>
              <w:t>Mengelakkan kekosongan tidak disengajakan</w:t>
            </w:r>
          </w:p>
        </w:tc>
      </w:tr>
      <w:tr>
        <w:tc>
          <w:tcPr>
            <w:tcW w:type="dxa" w:w="4656"/>
          </w:tcPr>
          <w:p>
            <w:r>
              <w:t>Pengesahan tempoh (duration) akhir</w:t>
            </w:r>
          </w:p>
        </w:tc>
        <w:tc>
          <w:tcPr>
            <w:tcW w:type="dxa" w:w="4656"/>
          </w:tcPr>
          <w:p>
            <w:r>
              <w:t>Selaras dengan keperluan slot siaran atau spesifikasi pelanggan</w:t>
            </w:r>
          </w:p>
        </w:tc>
      </w:tr>
    </w:tbl>
    <w:p>
      <w:r>
        <w:rPr>
          <w:b/>
          <w:sz w:val="26"/>
        </w:rPr>
        <w:t>2. Kepentingan Mengunci Projek</w:t>
      </w:r>
    </w:p>
    <w:p>
      <w:r>
        <w:t>Semakan ini adalah langkah kawalan kualiti terakhir sebelum projek "dikunci" (locked) untuk diserahkan ke peringkat online editing — sebarang perubahan struktur naratif selepas peringkat ini akan menjadi lebih mahal dan memakan masa kerana ia perlu diulang semula di peringkat online.</w:t>
      </w:r>
    </w:p>
    <w:p>
      <w:r>
        <w:rPr>
          <w:b/>
          <w:sz w:val="26"/>
        </w:rPr>
        <w:t>Rumusan</w:t>
      </w:r>
    </w:p>
    <w:p>
      <w:r>
        <w:t>Semakan menyeluruh merangkumi turutan scene, kesempurnaan AV, ketiadaan jurang, dan pengesahan tempoh; mengunci projek pada peringkat ini mengelakkan kos perubahan struktur yang lebih tinggi di peringkat online.</w:t>
      </w:r>
    </w:p>
    <w:p>
      <w:r>
        <w:rPr>
          <w:b/>
          <w:sz w:val="36"/>
        </w:rPr>
        <w:t>Bab 2: Edit-Decision-List (EDL)</w:t>
      </w:r>
    </w:p>
    <w:p>
      <w:r>
        <w:rPr>
          <w:b/>
          <w:sz w:val="26"/>
        </w:rPr>
        <w:t>Objektif Pembelajaran</w:t>
      </w:r>
    </w:p>
    <w:p>
      <w:r>
        <w:t>Selepas mempelajari topik ini, pelatih dapat:</w:t>
      </w:r>
    </w:p>
    <w:p>
      <w:pPr>
        <w:pStyle w:val="ListParagraph"/>
      </w:pPr>
      <w:r>
        <w:t>• Mentakrifkan fungsi EDL dalam aliran kerja offline ke online.</w:t>
      </w:r>
    </w:p>
    <w:p>
      <w:pPr>
        <w:pStyle w:val="ListParagraph"/>
      </w:pPr>
      <w:r>
        <w:t>• Menjelaskan maklumat yang direkodkan dalam EDL.</w:t>
      </w:r>
    </w:p>
    <w:p>
      <w:pPr>
        <w:pStyle w:val="ListParagraph"/>
      </w:pPr>
      <w:r>
        <w:t>• Mengenal pasti format EDL standard industri.</w:t>
      </w:r>
    </w:p>
    <w:p>
      <w:r>
        <w:rPr>
          <w:b/>
          <w:sz w:val="26"/>
        </w:rPr>
        <w:t>1. Definisi dan Fungsi EDL</w:t>
      </w:r>
    </w:p>
    <w:p>
      <w:r>
        <w:t>Edit-Decision-List (EDL) ialah fail teks berformat piawai yang merekodkan setiap keputusan penyuntingan dalam sequence offline — termasuk nombor klip sumber, timecode masuk dan keluar (in/out point) bagi setiap shot, jenis peralihan (cut, dissolve, wipe), dan kedudukan setiap shot pada timeline.</w:t>
      </w:r>
    </w:p>
    <w:p>
      <w:r>
        <w:rPr>
          <w:b/>
          <w:sz w:val="26"/>
        </w:rPr>
        <w:t>2. Proses Conform</w:t>
      </w:r>
    </w:p>
    <w:p>
      <w:r>
        <w:t>EDL membolehkan sequence offline yang dihasilkan menggunakan footage beresolusi rendah (proxy) untuk "conform" semula menggunakan footage sumber beresolusi penuh semasa peringkat online editing, tanpa Editor online perlu membina semula sequence dari awal.</w:t>
      </w:r>
    </w:p>
    <w:p>
      <w:r>
        <w:rPr>
          <w:b/>
          <w:sz w:val="26"/>
        </w:rPr>
        <w:t>3. Format Standard Industri</w:t>
      </w:r>
    </w:p>
    <w:p>
      <w:r>
        <w:t>Format EDL yang biasa digunakan dalam industri ialah format CMX3600, yang serasi dengan hampir semua sistem NLE profesional.</w:t>
      </w:r>
    </w:p>
    <w:p>
      <w:r>
        <w:rPr>
          <w:b/>
          <w:sz w:val="26"/>
        </w:rPr>
        <w:t>Rumusan</w:t>
      </w:r>
    </w:p>
    <w:p>
      <w:r>
        <w:t>EDL merekodkan keputusan penyuntingan proxy secara terperinci dalam format CMX3600, membolehkan proses conform ke footage resolusi penuh tanpa membina semula sequence.</w:t>
      </w:r>
    </w:p>
    <w:p>
      <w:r>
        <w:rPr>
          <w:b/>
          <w:sz w:val="36"/>
        </w:rPr>
        <w:t>Bab 3: XML / AAF Import/Export Process</w:t>
      </w:r>
    </w:p>
    <w:p>
      <w:r>
        <w:rPr>
          <w:b/>
          <w:sz w:val="26"/>
        </w:rPr>
        <w:t>Objektif Pembelajaran</w:t>
      </w:r>
    </w:p>
    <w:p>
      <w:r>
        <w:t>Selepas mempelajari topik ini, pelatih dapat:</w:t>
      </w:r>
    </w:p>
    <w:p>
      <w:pPr>
        <w:pStyle w:val="ListParagraph"/>
      </w:pPr>
      <w:r>
        <w:t>• Membezakan kegunaan format XML dan AAF.</w:t>
      </w:r>
    </w:p>
    <w:p>
      <w:pPr>
        <w:pStyle w:val="ListParagraph"/>
      </w:pPr>
      <w:r>
        <w:t>• Memilih format eksport yang sesuai dengan sistem online.</w:t>
      </w:r>
    </w:p>
    <w:p>
      <w:pPr>
        <w:pStyle w:val="ListParagraph"/>
      </w:pPr>
      <w:r>
        <w:t>• Mengenal pasti kesan kesilapan memilih format eksport.</w:t>
      </w:r>
    </w:p>
    <w:p>
      <w:r>
        <w:rPr>
          <w:b/>
          <w:sz w:val="26"/>
        </w:rPr>
        <w:t>1. Perbandingan Format XML dan AAF</w:t>
      </w:r>
    </w:p>
    <w:tbl>
      <w:tblPr>
        <w:tblStyle w:val="TableGrid"/>
        <w:tblW w:type="auto" w:w="0"/>
        <w:tblLook w:firstColumn="1" w:firstRow="1" w:lastColumn="0" w:lastRow="0" w:noHBand="0" w:noVBand="1" w:val="04A0"/>
      </w:tblPr>
      <w:tblGrid>
        <w:gridCol w:w="4656"/>
        <w:gridCol w:w="4656"/>
      </w:tblGrid>
      <w:tr>
        <w:tc>
          <w:tcPr>
            <w:tcW w:type="dxa" w:w="4656"/>
          </w:tcPr>
          <w:p>
            <w:r>
              <w:t>Format</w:t>
            </w:r>
          </w:p>
        </w:tc>
        <w:tc>
          <w:tcPr>
            <w:tcW w:type="dxa" w:w="4656"/>
          </w:tcPr>
          <w:p>
            <w:r>
              <w:t>Kegunaan Utama</w:t>
            </w:r>
          </w:p>
        </w:tc>
      </w:tr>
      <w:tr>
        <w:tc>
          <w:tcPr>
            <w:tcW w:type="dxa" w:w="4656"/>
          </w:tcPr>
          <w:p>
            <w:r>
              <w:t>XML (Extensible Markup Language)</w:t>
            </w:r>
          </w:p>
        </w:tc>
        <w:tc>
          <w:tcPr>
            <w:tcW w:type="dxa" w:w="4656"/>
          </w:tcPr>
          <w:p>
            <w:r>
              <w:t>Format terbuka yang membawa metadata track berbilang lapisan, kesan visual asas, dan penyesuaian audio; digunakan meluas antara Final Cut Pro dan Adobe Premiere Pro</w:t>
            </w:r>
          </w:p>
        </w:tc>
      </w:tr>
      <w:tr>
        <w:tc>
          <w:tcPr>
            <w:tcW w:type="dxa" w:w="4656"/>
          </w:tcPr>
          <w:p>
            <w:r>
              <w:t>AAF (Advanced Authoring Format)</w:t>
            </w:r>
          </w:p>
        </w:tc>
        <w:tc>
          <w:tcPr>
            <w:tcW w:type="dxa" w:w="4656"/>
          </w:tcPr>
          <w:p>
            <w:r>
              <w:t>Direka khusus untuk membawa maklumat audio dan video kompleks (kesan, transisi, metadata media); digunakan meluas dengan Avid Media Composer</w:t>
            </w:r>
          </w:p>
        </w:tc>
      </w:tr>
    </w:tbl>
    <w:p>
      <w:r>
        <w:rPr>
          <w:b/>
          <w:sz w:val="26"/>
        </w:rPr>
        <w:t>2. Contoh Studio: Kesilapan Pemilihan Format</w:t>
      </w:r>
    </w:p>
    <w:p>
      <w:r>
        <w:t>Proses eksport memerlukan Editor memilih format yang sesuai dengan sistem yang akan digunakan pada peringkat online (rujuk juga Bab 4, dan proses P07 langkah 4 dalam 01-proses-kerja.md). Kesilapan memilih format eksport (contoh: EDL asas apabila sistem online memerlukan AAF untuk membawa maklumat audio berbilang track) boleh menyebabkan kehilangan maklumat penting semasa conform.</w:t>
      </w:r>
    </w:p>
    <w:p>
      <w:r>
        <w:rPr>
          <w:b/>
          <w:sz w:val="26"/>
        </w:rPr>
        <w:t>Rumusan</w:t>
      </w:r>
    </w:p>
    <w:p>
      <w:r>
        <w:t>XML sesuai untuk pertukaran antara FCP dan Premiere Pro, manakala AAF sesuai untuk sistem Avid dan audio kompleks; kesilapan memilih format boleh menyebabkan kehilangan maklumat semasa conform.</w:t>
      </w:r>
    </w:p>
    <w:p>
      <w:r>
        <w:rPr>
          <w:b/>
          <w:sz w:val="36"/>
        </w:rPr>
        <w:t>Bab 4: Editing Software</w:t>
      </w:r>
    </w:p>
    <w:p>
      <w:r>
        <w:rPr>
          <w:b/>
          <w:sz w:val="26"/>
        </w:rPr>
        <w:t>Objektif Pembelajaran</w:t>
      </w:r>
    </w:p>
    <w:p>
      <w:r>
        <w:t>Selepas mempelajari topik ini, pelatih dapat:</w:t>
      </w:r>
    </w:p>
    <w:p>
      <w:pPr>
        <w:pStyle w:val="ListParagraph"/>
      </w:pPr>
      <w:r>
        <w:t>• Menyenaraikan keserasian format eksport/import bagi setiap perisian NLE.</w:t>
      </w:r>
    </w:p>
    <w:p>
      <w:pPr>
        <w:pStyle w:val="ListParagraph"/>
      </w:pPr>
      <w:r>
        <w:t>• Mengenal pasti risiko ketidakserasian versi perisian.</w:t>
      </w:r>
    </w:p>
    <w:p>
      <w:pPr>
        <w:pStyle w:val="ListParagraph"/>
      </w:pPr>
      <w:r>
        <w:t>• Memilih perisian yang sesuai dengan keperluan online editing.</w:t>
      </w:r>
    </w:p>
    <w:p>
      <w:r>
        <w:rPr>
          <w:b/>
          <w:sz w:val="26"/>
        </w:rPr>
        <w:t>1. Keserasian Format Mengikut Perisian</w:t>
      </w:r>
    </w:p>
    <w:tbl>
      <w:tblPr>
        <w:tblStyle w:val="TableGrid"/>
        <w:tblW w:type="auto" w:w="0"/>
        <w:tblLook w:firstColumn="1" w:firstRow="1" w:lastColumn="0" w:lastRow="0" w:noHBand="0" w:noVBand="1" w:val="04A0"/>
      </w:tblPr>
      <w:tblGrid>
        <w:gridCol w:w="4656"/>
        <w:gridCol w:w="4656"/>
      </w:tblGrid>
      <w:tr>
        <w:tc>
          <w:tcPr>
            <w:tcW w:type="dxa" w:w="4656"/>
          </w:tcPr>
          <w:p>
            <w:r>
              <w:t>Perisian</w:t>
            </w:r>
          </w:p>
        </w:tc>
        <w:tc>
          <w:tcPr>
            <w:tcW w:type="dxa" w:w="4656"/>
          </w:tcPr>
          <w:p>
            <w:r>
              <w:t>Format Eksport/Import Disokong</w:t>
            </w:r>
          </w:p>
        </w:tc>
      </w:tr>
      <w:tr>
        <w:tc>
          <w:tcPr>
            <w:tcW w:type="dxa" w:w="4656"/>
          </w:tcPr>
          <w:p>
            <w:r>
              <w:t>Final Cut Pro (FCP)</w:t>
            </w:r>
          </w:p>
        </w:tc>
        <w:tc>
          <w:tcPr>
            <w:tcW w:type="dxa" w:w="4656"/>
          </w:tcPr>
          <w:p>
            <w:r>
              <w:t>XML secara native, EDL turut disokong</w:t>
            </w:r>
          </w:p>
        </w:tc>
      </w:tr>
      <w:tr>
        <w:tc>
          <w:tcPr>
            <w:tcW w:type="dxa" w:w="4656"/>
          </w:tcPr>
          <w:p>
            <w:r>
              <w:t>Avid Media Composer / Symphony</w:t>
            </w:r>
          </w:p>
        </w:tc>
        <w:tc>
          <w:tcPr>
            <w:tcW w:type="dxa" w:w="4656"/>
          </w:tcPr>
          <w:p>
            <w:r>
              <w:t>Platform asal AAF, turut menyokong EDL CMX3600</w:t>
            </w:r>
          </w:p>
        </w:tc>
      </w:tr>
      <w:tr>
        <w:tc>
          <w:tcPr>
            <w:tcW w:type="dxa" w:w="4656"/>
          </w:tcPr>
          <w:p>
            <w:r>
              <w:t>Adobe Premiere Pro</w:t>
            </w:r>
          </w:p>
        </w:tc>
        <w:tc>
          <w:tcPr>
            <w:tcW w:type="dxa" w:w="4656"/>
          </w:tcPr>
          <w:p>
            <w:r>
              <w:t>XML dan EDL, serta AAF untuk pertukaran audio dengan Avid</w:t>
            </w:r>
          </w:p>
        </w:tc>
      </w:tr>
      <w:tr>
        <w:tc>
          <w:tcPr>
            <w:tcW w:type="dxa" w:w="4656"/>
          </w:tcPr>
          <w:p>
            <w:r>
              <w:t>Sony Vegas, Canopus Edius, AutoDesk Smoke</w:t>
            </w:r>
          </w:p>
        </w:tc>
        <w:tc>
          <w:tcPr>
            <w:tcW w:type="dxa" w:w="4656"/>
          </w:tcPr>
          <w:p>
            <w:r>
              <w:t>EDL sebagai format pertukaran asas antara sistem</w:t>
            </w:r>
          </w:p>
        </w:tc>
      </w:tr>
    </w:tbl>
    <w:p>
      <w:r>
        <w:rPr>
          <w:b/>
          <w:sz w:val="26"/>
        </w:rPr>
        <w:t>2. Risiko Ketidakserasian Versi</w:t>
      </w:r>
    </w:p>
    <w:p>
      <w:r>
        <w:t>Editor perlu memastikan versi perisian yang digunakan untuk eksport serasi dengan versi perisian yang akan menerima fail tersebut pada peringkat online, kerana sesetengah ciri format XML/AAF terbaharu mungkin tidak dikenali oleh versi perisian yang lebih lama.</w:t>
      </w:r>
    </w:p>
    <w:p>
      <w:r>
        <w:rPr>
          <w:b/>
          <w:sz w:val="26"/>
        </w:rPr>
        <w:t>Rumusan</w:t>
      </w:r>
    </w:p>
    <w:p>
      <w:r>
        <w:t>Setiap perisian NLE menyokong kombinasi format eksport/import yang berbeza; memastikan keserasian versi perisian antara offline dan online mengelakkan kehilangan data semasa pemindahan projek.</w:t>
      </w:r>
    </w:p>
    <w:p>
      <w:r>
        <w:rPr>
          <w:b/>
        </w:rPr>
        <w:t>SOALAN:</w:t>
      </w:r>
    </w:p>
    <w:p>
      <w:pPr>
        <w:pStyle w:val="ListParagraph"/>
      </w:pPr>
      <w:r>
        <w:t>• Soalan: Apakah fungsi utama Edit-Decision-List (EDL) dalam aliran kerja daripada offline ke online editing?</w:t>
      </w:r>
    </w:p>
    <w:p>
      <w:r>
        <w:t>Jawapan model: EDL merekodkan setiap keputusan penyuntingan (nombor klip, timecode in/out, jenis peralihan, kedudukan pada timeline) supaya sequence offline yang dibina menggunakan footage proxy dapat di-"conform" semula menggunakan footage sumber beresolusi penuh pada peringkat online, tanpa perlu membina semula sequence dari awal.</w:t>
      </w:r>
    </w:p>
    <w:p>
      <w:pPr>
        <w:pStyle w:val="ListParagraph"/>
      </w:pPr>
      <w:r>
        <w:t>• Soalan: Bezakan format XML dan AAF dari segi kegunaan utama masing-masing.</w:t>
      </w:r>
    </w:p>
    <w:p>
      <w:r>
        <w:t>Jawapan model: XML membawa maklumat metadata track dan penyesuaian asas, digunakan meluas antara FCP dan Premiere Pro; AAF direka khusus untuk membawa maklumat audio dan video kompleks (termasuk kesan dan transisi) dan digunakan meluas dengan sistem Avid.</w:t>
      </w:r>
    </w:p>
    <w:p>
      <w:pPr>
        <w:pStyle w:val="ListParagraph"/>
      </w:pPr>
      <w:r>
        <w:t>• Soalan: Mengapakah pengesahan rough cut oleh Director diperlukan sebelum final offline dieksport ke EDL?</w:t>
      </w:r>
    </w:p>
    <w:p>
      <w:r>
        <w:t>Jawapan model: Kerana sebarang perubahan struktur naratif selepas projek dieksport dan dikunci untuk online editing akan lebih mahal dan memakan masa untuk diulang; pengesahan Director pada peringkat ini memastikan hala tuju kreatif telah disepakati sebelum sumber diproses dengan resolusi penuh.</w:t>
      </w:r>
    </w:p>
    <w:p>
      <w:r>
        <w:rPr>
          <w:b/>
        </w:rPr>
        <w:t>RUJUKAN:</w:t>
      </w:r>
    </w:p>
    <w:p>
      <w:r>
        <w:t>Rujukan CoCU (rujukan rasmi bagi CU ini, sama seperti §6.1 dalam 00-noss-extract.md):</w:t>
      </w:r>
    </w:p>
    <w:p>
      <w:pPr>
        <w:pStyle w:val="ListParagraph"/>
      </w:pPr>
      <w:r>
        <w:t>• Wells, P. (2007). *Digital video editing: A user's guide* (1st ed.). Crowood Press. ISBN 978-1861269522</w:t>
      </w:r>
    </w:p>
    <w:p>
      <w:pPr>
        <w:pStyle w:val="ListParagraph"/>
      </w:pPr>
      <w:r>
        <w:t>• Kauffmann, S., &amp; Kennedy, A. (2012). *Avid editing: A guide for beginning and intermediate users* (4th ed.). Focal Press. ISBN 978-0240818566</w:t>
      </w:r>
    </w:p>
    <w:p>
      <w:pPr>
        <w:pStyle w:val="ListParagraph"/>
      </w:pPr>
      <w:r>
        <w:t>• Dancyger, K. (2010). *The technique of film and video editing: History, theory, and practice* (5th ed.). Focal Press. ISBN 978-0240813974</w:t>
      </w:r>
    </w:p>
    <w:p>
      <w:pPr>
        <w:pStyle w:val="ListParagraph"/>
      </w:pPr>
      <w:r>
        <w:t>• Chandler, G. (2009). *Film editing: Great cuts every filmmaker and movie lover must know* (1st ed.). Michael Wiese Productions. ISBN 978-1932907629</w:t>
      </w:r>
    </w:p>
    <w:p>
      <w:pPr>
        <w:pStyle w:val="ListParagraph"/>
      </w:pPr>
      <w:r>
        <w:t>• Pearlman, K. (2009). *Cutting rhythms: Shaping the film edit* (1st ed.). Focal Press. ISBN 978-0240810140</w:t>
      </w:r>
    </w:p>
    <w:p>
      <w:pPr>
        <w:pStyle w:val="ListParagraph"/>
      </w:pPr>
      <w:r>
        <w:t>• Coleman, L., &amp; Friedberg, D. (2010). *Make the cut: A guide to becoming a successful assistant editor in film and TV* (1st ed.). Focal Press. ISBN 978-0240813981</w:t>
      </w:r>
    </w:p>
    <w:p>
      <w:pPr>
        <w:pStyle w:val="ListParagraph"/>
      </w:pPr>
      <w:r>
        <w:t>• Rosenberg, J. (2010). *The healthy edit: Creative editing techniques for perfecting your movie* (1st ed.). Focal Press. ISBN 978-0240814469</w:t>
      </w:r>
    </w:p>
    <w:p>
      <w:r>
        <w:t>Rujukan tambahan (APA):</w:t>
      </w:r>
    </w:p>
    <w:p>
      <w:pPr>
        <w:pStyle w:val="ListParagraph"/>
      </w:pPr>
      <w:r>
        <w:t>• Ohanian, T. A. (1998). *Digital nonlinear editing: Editing film and video on the desktop* (2nd ed.). Focal Press.</w:t>
      </w:r>
    </w:p>
    <w:p>
      <w:pPr>
        <w:pStyle w:val="ListParagraph"/>
      </w:pPr>
      <w:r>
        <w:t>• Ascher, S., &amp; Pincus, E. (2012). *The filmmaker's handbook: A comprehensive guide for the digital age* (4th ed.). Plume.</w:t>
      </w:r>
    </w:p>
    <w:p>
      <w:pPr>
        <w:pStyle w:val="ListParagraph"/>
      </w:pPr>
      <w:r>
        <w:t>• Dancyger, K. (2018). *The technique of film and video editing: History, theory, and practice* (6th ed.). Routledge.</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