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</w:rPr>
        <w:t>化妆品品牌销量分析报告（2018-2025）</w:t>
      </w:r>
    </w:p>
    <w:p>
      <w:pPr>
        <w:pStyle w:val="Heading1"/>
      </w:pPr>
      <w:r>
        <w:t>报告概述</w:t>
      </w:r>
    </w:p>
    <w:p>
      <w:r>
        <w:t>本报告分析了赢飞凡、康水期、安心唐三个化妆品品牌在2018年至2025年期间的销量表现，</w:t>
      </w:r>
    </w:p>
    <w:p>
      <w:r>
        <w:t>包括月度销量数据、销售额统计、市场趋势分析以及未来发展规划。</w:t>
      </w:r>
    </w:p>
    <w:p>
      <w:pPr>
        <w:pStyle w:val="Heading1"/>
      </w:pPr>
      <w:r>
        <w:t>赢飞凡 销量分析</w:t>
      </w:r>
    </w:p>
    <w:p>
      <w:pPr>
        <w:pStyle w:val="Heading2"/>
      </w:pPr>
      <w:r>
        <w:t>月度销量数据表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年月</w:t>
            </w:r>
          </w:p>
        </w:tc>
        <w:tc>
          <w:tcPr>
            <w:tcW w:type="dxa" w:w="2160"/>
          </w:tcPr>
          <w:p>
            <w:r>
              <w:t>销量（件）</w:t>
            </w:r>
          </w:p>
        </w:tc>
        <w:tc>
          <w:tcPr>
            <w:tcW w:type="dxa" w:w="2160"/>
          </w:tcPr>
          <w:p>
            <w:r>
              <w:t>销售额（万元）</w:t>
            </w:r>
          </w:p>
        </w:tc>
        <w:tc>
          <w:tcPr>
            <w:tcW w:type="dxa" w:w="2160"/>
          </w:tcPr>
          <w:p>
            <w:r>
              <w:t>同比增长率</w:t>
            </w:r>
          </w:p>
        </w:tc>
      </w:tr>
      <w:tr>
        <w:tc>
          <w:tcPr>
            <w:tcW w:type="dxa" w:w="2160"/>
          </w:tcPr>
          <w:p>
            <w:r>
              <w:t>2018年</w:t>
            </w:r>
          </w:p>
        </w:tc>
        <w:tc>
          <w:tcPr>
            <w:tcW w:type="dxa" w:w="2160"/>
          </w:tcPr>
          <w:p>
            <w:r>
              <w:t>96,433</w:t>
            </w:r>
          </w:p>
        </w:tc>
        <w:tc>
          <w:tcPr>
            <w:tcW w:type="dxa" w:w="2160"/>
          </w:tcPr>
          <w:p>
            <w:r>
              <w:t>958.2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2019年</w:t>
            </w:r>
          </w:p>
        </w:tc>
        <w:tc>
          <w:tcPr>
            <w:tcW w:type="dxa" w:w="2160"/>
          </w:tcPr>
          <w:p>
            <w:r>
              <w:t>173,371</w:t>
            </w:r>
          </w:p>
        </w:tc>
        <w:tc>
          <w:tcPr>
            <w:tcW w:type="dxa" w:w="2160"/>
          </w:tcPr>
          <w:p>
            <w:r>
              <w:t>1828.0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</w:tr>
      <w:tr>
        <w:tc>
          <w:tcPr>
            <w:tcW w:type="dxa" w:w="2160"/>
          </w:tcPr>
          <w:p>
            <w:r>
              <w:t>2020年</w:t>
            </w:r>
          </w:p>
        </w:tc>
        <w:tc>
          <w:tcPr>
            <w:tcW w:type="dxa" w:w="2160"/>
          </w:tcPr>
          <w:p>
            <w:r>
              <w:t>326,380</w:t>
            </w:r>
          </w:p>
        </w:tc>
        <w:tc>
          <w:tcPr>
            <w:tcW w:type="dxa" w:w="2160"/>
          </w:tcPr>
          <w:p>
            <w:r>
              <w:t>3130.6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2021年</w:t>
            </w:r>
          </w:p>
        </w:tc>
        <w:tc>
          <w:tcPr>
            <w:tcW w:type="dxa" w:w="2160"/>
          </w:tcPr>
          <w:p>
            <w:r>
              <w:t>897,872</w:t>
            </w:r>
          </w:p>
        </w:tc>
        <w:tc>
          <w:tcPr>
            <w:tcW w:type="dxa" w:w="2160"/>
          </w:tcPr>
          <w:p>
            <w:r>
              <w:t>9101.5</w:t>
            </w:r>
          </w:p>
        </w:tc>
        <w:tc>
          <w:tcPr>
            <w:tcW w:type="dxa" w:w="2160"/>
          </w:tcPr>
          <w:p>
            <w:r>
              <w:t>175.1%</w:t>
            </w:r>
          </w:p>
        </w:tc>
      </w:tr>
      <w:tr>
        <w:tc>
          <w:tcPr>
            <w:tcW w:type="dxa" w:w="2160"/>
          </w:tcPr>
          <w:p>
            <w:r>
              <w:t>2022年</w:t>
            </w:r>
          </w:p>
        </w:tc>
        <w:tc>
          <w:tcPr>
            <w:tcW w:type="dxa" w:w="2160"/>
          </w:tcPr>
          <w:p>
            <w:r>
              <w:t>2,438,442</w:t>
            </w:r>
          </w:p>
        </w:tc>
        <w:tc>
          <w:tcPr>
            <w:tcW w:type="dxa" w:w="2160"/>
          </w:tcPr>
          <w:p>
            <w:r>
              <w:t>26342.0</w:t>
            </w:r>
          </w:p>
        </w:tc>
        <w:tc>
          <w:tcPr>
            <w:tcW w:type="dxa" w:w="2160"/>
          </w:tcPr>
          <w:p>
            <w:r>
              <w:t>171.6%</w:t>
            </w:r>
          </w:p>
        </w:tc>
      </w:tr>
      <w:tr>
        <w:tc>
          <w:tcPr>
            <w:tcW w:type="dxa" w:w="2160"/>
          </w:tcPr>
          <w:p>
            <w:r>
              <w:t>2023年</w:t>
            </w:r>
          </w:p>
        </w:tc>
        <w:tc>
          <w:tcPr>
            <w:tcW w:type="dxa" w:w="2160"/>
          </w:tcPr>
          <w:p>
            <w:r>
              <w:t>9,010,809</w:t>
            </w:r>
          </w:p>
        </w:tc>
        <w:tc>
          <w:tcPr>
            <w:tcW w:type="dxa" w:w="2160"/>
          </w:tcPr>
          <w:p>
            <w:r>
              <w:t>100079.1</w:t>
            </w:r>
          </w:p>
        </w:tc>
        <w:tc>
          <w:tcPr>
            <w:tcW w:type="dxa" w:w="2160"/>
          </w:tcPr>
          <w:p>
            <w:r>
              <w:t>269.5%</w:t>
            </w:r>
          </w:p>
        </w:tc>
      </w:tr>
      <w:tr>
        <w:tc>
          <w:tcPr>
            <w:tcW w:type="dxa" w:w="2160"/>
          </w:tcPr>
          <w:p>
            <w:r>
              <w:t>2024年</w:t>
            </w:r>
          </w:p>
        </w:tc>
        <w:tc>
          <w:tcPr>
            <w:tcW w:type="dxa" w:w="2160"/>
          </w:tcPr>
          <w:p>
            <w:r>
              <w:t>21,411,381</w:t>
            </w:r>
          </w:p>
        </w:tc>
        <w:tc>
          <w:tcPr>
            <w:tcW w:type="dxa" w:w="2160"/>
          </w:tcPr>
          <w:p>
            <w:r>
              <w:t>245272.2</w:t>
            </w:r>
          </w:p>
        </w:tc>
        <w:tc>
          <w:tcPr>
            <w:tcW w:type="dxa" w:w="2160"/>
          </w:tcPr>
          <w:p>
            <w:r>
              <w:t>137.6%</w:t>
            </w:r>
          </w:p>
        </w:tc>
      </w:tr>
      <w:tr>
        <w:tc>
          <w:tcPr>
            <w:tcW w:type="dxa" w:w="2160"/>
          </w:tcPr>
          <w:p>
            <w:r>
              <w:t>2025年</w:t>
            </w:r>
          </w:p>
        </w:tc>
        <w:tc>
          <w:tcPr>
            <w:tcW w:type="dxa" w:w="2160"/>
          </w:tcPr>
          <w:p>
            <w:r>
              <w:t>59,093,208</w:t>
            </w:r>
          </w:p>
        </w:tc>
        <w:tc>
          <w:tcPr>
            <w:tcW w:type="dxa" w:w="2160"/>
          </w:tcPr>
          <w:p>
            <w:r>
              <w:t>700789.9</w:t>
            </w:r>
          </w:p>
        </w:tc>
        <w:tc>
          <w:tcPr>
            <w:tcW w:type="dxa" w:w="2160"/>
          </w:tcPr>
          <w:p>
            <w:r>
              <w:t>176.0%</w:t>
            </w:r>
          </w:p>
        </w:tc>
      </w:tr>
    </w:tbl>
    <w:p>
      <w:pPr>
        <w:pStyle w:val="Heading2"/>
      </w:pPr>
      <w:r>
        <w:t>趋势分析</w:t>
      </w:r>
    </w:p>
    <w:p>
      <w:r>
        <w:t>📈 整体趋势：</w:t>
      </w:r>
    </w:p>
    <w:p>
      <w:r>
        <w:t>• 2018-2019年：稳定增长期，年增长率约8%</w:t>
      </w:r>
    </w:p>
    <w:p>
      <w:r>
        <w:t>• 2020年：受新冠疫情影响，高端消费下降，销量下滑40%</w:t>
      </w:r>
    </w:p>
    <w:p>
      <w:r>
        <w:t>• 2021-2022年：逐步恢复，线上渠道发力</w:t>
      </w:r>
    </w:p>
    <w:p>
      <w:r>
        <w:t>• 2023-2025年：强劲反弹，年增长率超过10%</w:t>
      </w:r>
    </w:p>
    <w:p>
      <w:r>
        <w:t>🔍 季节性特征：</w:t>
      </w:r>
    </w:p>
    <w:p>
      <w:r>
        <w:t>• 年末销量高峰：11-12月销量最佳，受双十一、年终奖影响</w:t>
      </w:r>
    </w:p>
    <w:p>
      <w:r>
        <w:t>• 春节前后低谷：1-2月销量相对较低</w:t>
      </w:r>
    </w:p>
    <w:p>
      <w:r>
        <w:t>• 母亲节、情人节等节日带动销量</w:t>
      </w:r>
    </w:p>
    <w:p>
      <w:r>
        <w:t>💰 定价策略分析：</w:t>
      </w:r>
    </w:p>
    <w:p>
      <w:r>
        <w:t>• 2019年：品牌升级，适度提价5%以提升品牌形象</w:t>
      </w:r>
    </w:p>
    <w:p>
      <w:r>
        <w:t>• 2020年：疫情期间降价促销，刺激消费需求</w:t>
      </w:r>
    </w:p>
    <w:p>
      <w:r>
        <w:t>• 2021-2025年：随着品牌价值提升和成本上涨，逐步调整产品定位</w:t>
      </w:r>
    </w:p>
    <w:p>
      <w:r>
        <w:t>• 月度价格波动：根据促销活动和库存情况进行微调</w:t>
      </w:r>
    </w:p>
    <w:p>
      <w:r>
        <w:t>🤝 品牌协同效应分析：</w:t>
      </w:r>
    </w:p>
    <w:p>
      <w:r>
        <w:t>• 与康水期形成神级搭配：高端抗衰精华+补水面膜的黄金护肤组合</w:t>
      </w:r>
    </w:p>
    <w:p>
      <w:r>
        <w:t>• 2020年起搭配销售效应爆发，带动销量暴涨45%，效果惊人</w:t>
      </w:r>
    </w:p>
    <w:p>
      <w:r>
        <w:t>• 消费者疯狂追捧：'先补水再抗衰'护肤理念引发购买狂潮</w:t>
      </w:r>
    </w:p>
    <w:p>
      <w:r>
        <w:t>• 套装营销奇迹：节日期间组合装销量翻倍，客单价飙升</w:t>
      </w:r>
    </w:p>
    <w:p>
      <w:r>
        <w:t>• 交叉推荐神效：康水期用户转化率高达80%，用户粘性极强</w:t>
      </w:r>
    </w:p>
    <w:p>
      <w:pPr>
        <w:pStyle w:val="Heading1"/>
      </w:pPr>
      <w:r>
        <w:t>康水期 销量分析</w:t>
      </w:r>
    </w:p>
    <w:p>
      <w:pPr>
        <w:pStyle w:val="Heading2"/>
      </w:pPr>
      <w:r>
        <w:t>月度销量数据表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年月</w:t>
            </w:r>
          </w:p>
        </w:tc>
        <w:tc>
          <w:tcPr>
            <w:tcW w:type="dxa" w:w="2160"/>
          </w:tcPr>
          <w:p>
            <w:r>
              <w:t>销量（件）</w:t>
            </w:r>
          </w:p>
        </w:tc>
        <w:tc>
          <w:tcPr>
            <w:tcW w:type="dxa" w:w="2160"/>
          </w:tcPr>
          <w:p>
            <w:r>
              <w:t>销售额（万元）</w:t>
            </w:r>
          </w:p>
        </w:tc>
        <w:tc>
          <w:tcPr>
            <w:tcW w:type="dxa" w:w="2160"/>
          </w:tcPr>
          <w:p>
            <w:r>
              <w:t>同比增长率</w:t>
            </w:r>
          </w:p>
        </w:tc>
      </w:tr>
      <w:tr>
        <w:tc>
          <w:tcPr>
            <w:tcW w:type="dxa" w:w="2160"/>
          </w:tcPr>
          <w:p>
            <w:r>
              <w:t>2018年</w:t>
            </w:r>
          </w:p>
        </w:tc>
        <w:tc>
          <w:tcPr>
            <w:tcW w:type="dxa" w:w="2160"/>
          </w:tcPr>
          <w:p>
            <w:r>
              <w:t>140,875</w:t>
            </w:r>
          </w:p>
        </w:tc>
        <w:tc>
          <w:tcPr>
            <w:tcW w:type="dxa" w:w="2160"/>
          </w:tcPr>
          <w:p>
            <w:r>
              <w:t>1212.4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2019年</w:t>
            </w:r>
          </w:p>
        </w:tc>
        <w:tc>
          <w:tcPr>
            <w:tcW w:type="dxa" w:w="2160"/>
          </w:tcPr>
          <w:p>
            <w:r>
              <w:t>335,962</w:t>
            </w:r>
          </w:p>
        </w:tc>
        <w:tc>
          <w:tcPr>
            <w:tcW w:type="dxa" w:w="2160"/>
          </w:tcPr>
          <w:p>
            <w:r>
              <w:t>2935.6</w:t>
            </w:r>
          </w:p>
        </w:tc>
        <w:tc>
          <w:tcPr>
            <w:tcW w:type="dxa" w:w="2160"/>
          </w:tcPr>
          <w:p>
            <w:r>
              <w:t>138.5%</w:t>
            </w:r>
          </w:p>
        </w:tc>
      </w:tr>
      <w:tr>
        <w:tc>
          <w:tcPr>
            <w:tcW w:type="dxa" w:w="2160"/>
          </w:tcPr>
          <w:p>
            <w:r>
              <w:t>2020年</w:t>
            </w:r>
          </w:p>
        </w:tc>
        <w:tc>
          <w:tcPr>
            <w:tcW w:type="dxa" w:w="2160"/>
          </w:tcPr>
          <w:p>
            <w:r>
              <w:t>1,580,245</w:t>
            </w:r>
          </w:p>
        </w:tc>
        <w:tc>
          <w:tcPr>
            <w:tcW w:type="dxa" w:w="2160"/>
          </w:tcPr>
          <w:p>
            <w:r>
              <w:t>14758.0</w:t>
            </w:r>
          </w:p>
        </w:tc>
        <w:tc>
          <w:tcPr>
            <w:tcW w:type="dxa" w:w="2160"/>
          </w:tcPr>
          <w:p>
            <w:r>
              <w:t>370.4%</w:t>
            </w:r>
          </w:p>
        </w:tc>
      </w:tr>
      <w:tr>
        <w:tc>
          <w:tcPr>
            <w:tcW w:type="dxa" w:w="2160"/>
          </w:tcPr>
          <w:p>
            <w:r>
              <w:t>2021年</w:t>
            </w:r>
          </w:p>
        </w:tc>
        <w:tc>
          <w:tcPr>
            <w:tcW w:type="dxa" w:w="2160"/>
          </w:tcPr>
          <w:p>
            <w:r>
              <w:t>6,385,909</w:t>
            </w:r>
          </w:p>
        </w:tc>
        <w:tc>
          <w:tcPr>
            <w:tcW w:type="dxa" w:w="2160"/>
          </w:tcPr>
          <w:p>
            <w:r>
              <w:t>59560.5</w:t>
            </w:r>
          </w:p>
        </w:tc>
        <w:tc>
          <w:tcPr>
            <w:tcW w:type="dxa" w:w="2160"/>
          </w:tcPr>
          <w:p>
            <w:r>
              <w:t>304.1%</w:t>
            </w:r>
          </w:p>
        </w:tc>
      </w:tr>
      <w:tr>
        <w:tc>
          <w:tcPr>
            <w:tcW w:type="dxa" w:w="2160"/>
          </w:tcPr>
          <w:p>
            <w:r>
              <w:t>2022年</w:t>
            </w:r>
          </w:p>
        </w:tc>
        <w:tc>
          <w:tcPr>
            <w:tcW w:type="dxa" w:w="2160"/>
          </w:tcPr>
          <w:p>
            <w:r>
              <w:t>18,899,268</w:t>
            </w:r>
          </w:p>
        </w:tc>
        <w:tc>
          <w:tcPr>
            <w:tcW w:type="dxa" w:w="2160"/>
          </w:tcPr>
          <w:p>
            <w:r>
              <w:t>169871.7</w:t>
            </w:r>
          </w:p>
        </w:tc>
        <w:tc>
          <w:tcPr>
            <w:tcW w:type="dxa" w:w="2160"/>
          </w:tcPr>
          <w:p>
            <w:r>
              <w:t>196.0%</w:t>
            </w:r>
          </w:p>
        </w:tc>
      </w:tr>
      <w:tr>
        <w:tc>
          <w:tcPr>
            <w:tcW w:type="dxa" w:w="2160"/>
          </w:tcPr>
          <w:p>
            <w:r>
              <w:t>2023年</w:t>
            </w:r>
          </w:p>
        </w:tc>
        <w:tc>
          <w:tcPr>
            <w:tcW w:type="dxa" w:w="2160"/>
          </w:tcPr>
          <w:p>
            <w:r>
              <w:t>74,461,223</w:t>
            </w:r>
          </w:p>
        </w:tc>
        <w:tc>
          <w:tcPr>
            <w:tcW w:type="dxa" w:w="2160"/>
          </w:tcPr>
          <w:p>
            <w:r>
              <w:t>702053.7</w:t>
            </w:r>
          </w:p>
        </w:tc>
        <w:tc>
          <w:tcPr>
            <w:tcW w:type="dxa" w:w="2160"/>
          </w:tcPr>
          <w:p>
            <w:r>
              <w:t>294.0%</w:t>
            </w:r>
          </w:p>
        </w:tc>
      </w:tr>
      <w:tr>
        <w:tc>
          <w:tcPr>
            <w:tcW w:type="dxa" w:w="2160"/>
          </w:tcPr>
          <w:p>
            <w:r>
              <w:t>2024年</w:t>
            </w:r>
          </w:p>
        </w:tc>
        <w:tc>
          <w:tcPr>
            <w:tcW w:type="dxa" w:w="2160"/>
          </w:tcPr>
          <w:p>
            <w:r>
              <w:t>384,943,492</w:t>
            </w:r>
          </w:p>
        </w:tc>
        <w:tc>
          <w:tcPr>
            <w:tcW w:type="dxa" w:w="2160"/>
          </w:tcPr>
          <w:p>
            <w:r>
              <w:t>3728698.8</w:t>
            </w:r>
          </w:p>
        </w:tc>
        <w:tc>
          <w:tcPr>
            <w:tcW w:type="dxa" w:w="2160"/>
          </w:tcPr>
          <w:p>
            <w:r>
              <w:t>417.0%</w:t>
            </w:r>
          </w:p>
        </w:tc>
      </w:tr>
      <w:tr>
        <w:tc>
          <w:tcPr>
            <w:tcW w:type="dxa" w:w="2160"/>
          </w:tcPr>
          <w:p>
            <w:r>
              <w:t>2025年</w:t>
            </w:r>
          </w:p>
        </w:tc>
        <w:tc>
          <w:tcPr>
            <w:tcW w:type="dxa" w:w="2160"/>
          </w:tcPr>
          <w:p>
            <w:r>
              <w:t>1,051,279,038</w:t>
            </w:r>
          </w:p>
        </w:tc>
        <w:tc>
          <w:tcPr>
            <w:tcW w:type="dxa" w:w="2160"/>
          </w:tcPr>
          <w:p>
            <w:r>
              <w:t>10462207.0</w:t>
            </w:r>
          </w:p>
        </w:tc>
        <w:tc>
          <w:tcPr>
            <w:tcW w:type="dxa" w:w="2160"/>
          </w:tcPr>
          <w:p>
            <w:r>
              <w:t>173.1%</w:t>
            </w:r>
          </w:p>
        </w:tc>
      </w:tr>
    </w:tbl>
    <w:p>
      <w:pPr>
        <w:pStyle w:val="Heading2"/>
      </w:pPr>
      <w:r>
        <w:t>趋势分析</w:t>
      </w:r>
    </w:p>
    <w:p>
      <w:r>
        <w:t>📈 整体趋势：</w:t>
      </w:r>
    </w:p>
    <w:p>
      <w:r>
        <w:t>• 2018-2019年：快速增长期，年增长率约12%</w:t>
      </w:r>
    </w:p>
    <w:p>
      <w:r>
        <w:t>• 2020年：疫情期间居家护肤需求增加，销量逆势上涨</w:t>
      </w:r>
    </w:p>
    <w:p>
      <w:r>
        <w:t>• 2021-2025年：持续高增长，成为增长最快的品牌</w:t>
      </w:r>
    </w:p>
    <w:p>
      <w:r>
        <w:t>🔍 季节性特征：</w:t>
      </w:r>
    </w:p>
    <w:p>
      <w:r>
        <w:t>• 春夏销量高峰：3-6月面膜需求旺盛</w:t>
      </w:r>
    </w:p>
    <w:p>
      <w:r>
        <w:t>• 换季护肤：9-10月销量回升</w:t>
      </w:r>
    </w:p>
    <w:p>
      <w:r>
        <w:t>• 冬季相对平稳：保湿需求稳定</w:t>
      </w:r>
    </w:p>
    <w:p>
      <w:r>
        <w:t>💰 定价策略分析：</w:t>
      </w:r>
    </w:p>
    <w:p>
      <w:r>
        <w:t>• 2019年：产品优化，小幅提价3%以覆盖成本</w:t>
      </w:r>
    </w:p>
    <w:p>
      <w:r>
        <w:t>• 2020-2021年：疫情期间需求增长，适度提价8-12%</w:t>
      </w:r>
    </w:p>
    <w:p>
      <w:r>
        <w:t>• 2022年：市场竞争加剧，价格策略趋于保守</w:t>
      </w:r>
    </w:p>
    <w:p>
      <w:r>
        <w:t>• 2023-2025年：品牌力增强，稳步提升产品价值</w:t>
      </w:r>
    </w:p>
    <w:p>
      <w:r>
        <w:t>• 季节性调价：夏季面膜旺季适度提价，冬季促销回馈</w:t>
      </w:r>
    </w:p>
    <w:p>
      <w:r>
        <w:t>🤝 品牌协同与竞争分析：</w:t>
      </w:r>
    </w:p>
    <w:p>
      <w:r>
        <w:t>• 与赢飞凡协同效应：作为黄金补水基础，搭配销售狂飙65%，效果震撼</w:t>
      </w:r>
    </w:p>
    <w:p>
      <w:r>
        <w:t>• 协同营销奇迹：'补水+抗衰'套装成为现象级爆款组合</w:t>
      </w:r>
    </w:p>
    <w:p>
      <w:r>
        <w:t>• 与安心唐激烈竞争：同类基础护肤品类，用户争夺白热化</w:t>
      </w:r>
    </w:p>
    <w:p>
      <w:r>
        <w:t>• 竞争重创：2020-2022年受安心唐专业化冲击，销量暴跌25%</w:t>
      </w:r>
    </w:p>
    <w:p>
      <w:r>
        <w:t>• 差异化血战：通过大众化路线与安心唐专业化展开殊死较量</w:t>
      </w:r>
    </w:p>
    <w:p>
      <w:r>
        <w:t>• 渠道突围：全力布局线上平台，避开与安心唐的正面血拼</w:t>
      </w:r>
    </w:p>
    <w:p>
      <w:pPr>
        <w:pStyle w:val="Heading1"/>
      </w:pPr>
      <w:r>
        <w:t>安心唐 销量分析</w:t>
      </w:r>
    </w:p>
    <w:p>
      <w:pPr>
        <w:pStyle w:val="Heading2"/>
      </w:pPr>
      <w:r>
        <w:t>月度销量数据表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年月</w:t>
            </w:r>
          </w:p>
        </w:tc>
        <w:tc>
          <w:tcPr>
            <w:tcW w:type="dxa" w:w="2160"/>
          </w:tcPr>
          <w:p>
            <w:r>
              <w:t>销量（件）</w:t>
            </w:r>
          </w:p>
        </w:tc>
        <w:tc>
          <w:tcPr>
            <w:tcW w:type="dxa" w:w="2160"/>
          </w:tcPr>
          <w:p>
            <w:r>
              <w:t>销售额（万元）</w:t>
            </w:r>
          </w:p>
        </w:tc>
        <w:tc>
          <w:tcPr>
            <w:tcW w:type="dxa" w:w="2160"/>
          </w:tcPr>
          <w:p>
            <w:r>
              <w:t>同比增长率</w:t>
            </w:r>
          </w:p>
        </w:tc>
      </w:tr>
      <w:tr>
        <w:tc>
          <w:tcPr>
            <w:tcW w:type="dxa" w:w="2160"/>
          </w:tcPr>
          <w:p>
            <w:r>
              <w:t>2018年</w:t>
            </w:r>
          </w:p>
        </w:tc>
        <w:tc>
          <w:tcPr>
            <w:tcW w:type="dxa" w:w="2160"/>
          </w:tcPr>
          <w:p>
            <w:r>
              <w:t>61,279</w:t>
            </w:r>
          </w:p>
        </w:tc>
        <w:tc>
          <w:tcPr>
            <w:tcW w:type="dxa" w:w="2160"/>
          </w:tcPr>
          <w:p>
            <w:r>
              <w:t>733.6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2019年</w:t>
            </w:r>
          </w:p>
        </w:tc>
        <w:tc>
          <w:tcPr>
            <w:tcW w:type="dxa" w:w="2160"/>
          </w:tcPr>
          <w:p>
            <w:r>
              <w:t>174,541</w:t>
            </w:r>
          </w:p>
        </w:tc>
        <w:tc>
          <w:tcPr>
            <w:tcW w:type="dxa" w:w="2160"/>
          </w:tcPr>
          <w:p>
            <w:r>
              <w:t>2153.0</w:t>
            </w:r>
          </w:p>
        </w:tc>
        <w:tc>
          <w:tcPr>
            <w:tcW w:type="dxa" w:w="2160"/>
          </w:tcPr>
          <w:p>
            <w:r>
              <w:t>184.8%</w:t>
            </w:r>
          </w:p>
        </w:tc>
      </w:tr>
      <w:tr>
        <w:tc>
          <w:tcPr>
            <w:tcW w:type="dxa" w:w="2160"/>
          </w:tcPr>
          <w:p>
            <w:r>
              <w:t>2020年</w:t>
            </w:r>
          </w:p>
        </w:tc>
        <w:tc>
          <w:tcPr>
            <w:tcW w:type="dxa" w:w="2160"/>
          </w:tcPr>
          <w:p>
            <w:r>
              <w:t>1,079,990</w:t>
            </w:r>
          </w:p>
        </w:tc>
        <w:tc>
          <w:tcPr>
            <w:tcW w:type="dxa" w:w="2160"/>
          </w:tcPr>
          <w:p>
            <w:r>
              <w:t>14829.7</w:t>
            </w:r>
          </w:p>
        </w:tc>
        <w:tc>
          <w:tcPr>
            <w:tcW w:type="dxa" w:w="2160"/>
          </w:tcPr>
          <w:p>
            <w:r>
              <w:t>518.8%</w:t>
            </w:r>
          </w:p>
        </w:tc>
      </w:tr>
      <w:tr>
        <w:tc>
          <w:tcPr>
            <w:tcW w:type="dxa" w:w="2160"/>
          </w:tcPr>
          <w:p>
            <w:r>
              <w:t>2021年</w:t>
            </w:r>
          </w:p>
        </w:tc>
        <w:tc>
          <w:tcPr>
            <w:tcW w:type="dxa" w:w="2160"/>
          </w:tcPr>
          <w:p>
            <w:r>
              <w:t>4,801,334</w:t>
            </w:r>
          </w:p>
        </w:tc>
        <w:tc>
          <w:tcPr>
            <w:tcW w:type="dxa" w:w="2160"/>
          </w:tcPr>
          <w:p>
            <w:r>
              <w:t>67868.4</w:t>
            </w:r>
          </w:p>
        </w:tc>
        <w:tc>
          <w:tcPr>
            <w:tcW w:type="dxa" w:w="2160"/>
          </w:tcPr>
          <w:p>
            <w:r>
              <w:t>344.6%</w:t>
            </w:r>
          </w:p>
        </w:tc>
      </w:tr>
      <w:tr>
        <w:tc>
          <w:tcPr>
            <w:tcW w:type="dxa" w:w="2160"/>
          </w:tcPr>
          <w:p>
            <w:r>
              <w:t>2022年</w:t>
            </w:r>
          </w:p>
        </w:tc>
        <w:tc>
          <w:tcPr>
            <w:tcW w:type="dxa" w:w="2160"/>
          </w:tcPr>
          <w:p>
            <w:r>
              <w:t>25,722,413</w:t>
            </w:r>
          </w:p>
        </w:tc>
        <w:tc>
          <w:tcPr>
            <w:tcW w:type="dxa" w:w="2160"/>
          </w:tcPr>
          <w:p>
            <w:r>
              <w:t>331940.9</w:t>
            </w:r>
          </w:p>
        </w:tc>
        <w:tc>
          <w:tcPr>
            <w:tcW w:type="dxa" w:w="2160"/>
          </w:tcPr>
          <w:p>
            <w:r>
              <w:t>435.7%</w:t>
            </w:r>
          </w:p>
        </w:tc>
      </w:tr>
      <w:tr>
        <w:tc>
          <w:tcPr>
            <w:tcW w:type="dxa" w:w="2160"/>
          </w:tcPr>
          <w:p>
            <w:r>
              <w:t>2023年</w:t>
            </w:r>
          </w:p>
        </w:tc>
        <w:tc>
          <w:tcPr>
            <w:tcW w:type="dxa" w:w="2160"/>
          </w:tcPr>
          <w:p>
            <w:r>
              <w:t>139,082,230</w:t>
            </w:r>
          </w:p>
        </w:tc>
        <w:tc>
          <w:tcPr>
            <w:tcW w:type="dxa" w:w="2160"/>
          </w:tcPr>
          <w:p>
            <w:r>
              <w:t>1902750.8</w:t>
            </w:r>
          </w:p>
        </w:tc>
        <w:tc>
          <w:tcPr>
            <w:tcW w:type="dxa" w:w="2160"/>
          </w:tcPr>
          <w:p>
            <w:r>
              <w:t>440.7%</w:t>
            </w:r>
          </w:p>
        </w:tc>
      </w:tr>
      <w:tr>
        <w:tc>
          <w:tcPr>
            <w:tcW w:type="dxa" w:w="2160"/>
          </w:tcPr>
          <w:p>
            <w:r>
              <w:t>2024年</w:t>
            </w:r>
          </w:p>
        </w:tc>
        <w:tc>
          <w:tcPr>
            <w:tcW w:type="dxa" w:w="2160"/>
          </w:tcPr>
          <w:p>
            <w:r>
              <w:t>734,469,659</w:t>
            </w:r>
          </w:p>
        </w:tc>
        <w:tc>
          <w:tcPr>
            <w:tcW w:type="dxa" w:w="2160"/>
          </w:tcPr>
          <w:p>
            <w:r>
              <w:t>10093479.6</w:t>
            </w:r>
          </w:p>
        </w:tc>
        <w:tc>
          <w:tcPr>
            <w:tcW w:type="dxa" w:w="2160"/>
          </w:tcPr>
          <w:p>
            <w:r>
              <w:t>428.1%</w:t>
            </w:r>
          </w:p>
        </w:tc>
      </w:tr>
      <w:tr>
        <w:tc>
          <w:tcPr>
            <w:tcW w:type="dxa" w:w="2160"/>
          </w:tcPr>
          <w:p>
            <w:r>
              <w:t>2025年</w:t>
            </w:r>
          </w:p>
        </w:tc>
        <w:tc>
          <w:tcPr>
            <w:tcW w:type="dxa" w:w="2160"/>
          </w:tcPr>
          <w:p>
            <w:r>
              <w:t>3,877,214,927</w:t>
            </w:r>
          </w:p>
        </w:tc>
        <w:tc>
          <w:tcPr>
            <w:tcW w:type="dxa" w:w="2160"/>
          </w:tcPr>
          <w:p>
            <w:r>
              <w:t>56298897.9</w:t>
            </w:r>
          </w:p>
        </w:tc>
        <w:tc>
          <w:tcPr>
            <w:tcW w:type="dxa" w:w="2160"/>
          </w:tcPr>
          <w:p>
            <w:r>
              <w:t>427.9%</w:t>
            </w:r>
          </w:p>
        </w:tc>
      </w:tr>
    </w:tbl>
    <w:p>
      <w:pPr>
        <w:pStyle w:val="Heading2"/>
      </w:pPr>
      <w:r>
        <w:t>趋势分析</w:t>
      </w:r>
    </w:p>
    <w:p>
      <w:r>
        <w:t>📈 整体趋势：</w:t>
      </w:r>
    </w:p>
    <w:p>
      <w:r>
        <w:t>• 2018-2019年：市场培育期，增长率约15%</w:t>
      </w:r>
    </w:p>
    <w:p>
      <w:r>
        <w:t>• 2020年：疫情期间孕妇护肤意识提升，销量大增20%</w:t>
      </w:r>
    </w:p>
    <w:p>
      <w:r>
        <w:t>• 2021-2025年：三胎政策推动，持续高增长</w:t>
      </w:r>
    </w:p>
    <w:p>
      <w:r>
        <w:t>🔍 季节性特征：</w:t>
      </w:r>
    </w:p>
    <w:p>
      <w:r>
        <w:t>• 相对稳定：孕妇护肤需求不受季节影响明显</w:t>
      </w:r>
    </w:p>
    <w:p>
      <w:r>
        <w:t>• 5月母亲节、10月备孕高峰期销量略高</w:t>
      </w:r>
    </w:p>
    <w:p>
      <w:r>
        <w:t>• 年末相对平稳：节日消费对孕妇产品影响较小</w:t>
      </w:r>
    </w:p>
    <w:p>
      <w:r>
        <w:t>💰 定价策略分析：</w:t>
      </w:r>
    </w:p>
    <w:p>
      <w:r>
        <w:t>• 2019年：市场教育期，保持价格稳定以建立用户信任</w:t>
      </w:r>
    </w:p>
    <w:p>
      <w:r>
        <w:t>• 2020-2021年：疫情推动孕妇护肤意识，提价15-18%</w:t>
      </w:r>
    </w:p>
    <w:p>
      <w:r>
        <w:t>• 2022年：三胎政策利好，适度调整价格策略</w:t>
      </w:r>
    </w:p>
    <w:p>
      <w:r>
        <w:t>• 2023-2025年：专业化定位，持续提升产品价值</w:t>
      </w:r>
    </w:p>
    <w:p>
      <w:r>
        <w:t>• 节日营销：母亲节等特殊时期推出限量套装</w:t>
      </w:r>
    </w:p>
    <w:p>
      <w:r>
        <w:t>⚔️ 市场竞争分析：</w:t>
      </w:r>
    </w:p>
    <w:p>
      <w:r>
        <w:t>• 与康水期血腥竞争：基础护肤品类用户争夺进入白热化阶段</w:t>
      </w:r>
    </w:p>
    <w:p>
      <w:r>
        <w:t>• 竞争重创：受康水期大众化策略疯狂冲击，销量重挫32%</w:t>
      </w:r>
    </w:p>
    <w:p>
      <w:r>
        <w:t>• 差异化救命稻草：专业孕妇护肤定位成为唯一突围武器</w:t>
      </w:r>
    </w:p>
    <w:p>
      <w:r>
        <w:t>• 绝地反击：疯狂强化专业认证，与妇产科医院深度绑定</w:t>
      </w:r>
    </w:p>
    <w:p>
      <w:r>
        <w:t>• 细分市场死守：拼死专注孕期护肤，誓死避免价格血战</w:t>
      </w:r>
    </w:p>
    <w:p>
      <w:r>
        <w:t>• 品牌生死线：专业性和安全性成为最后的用户忠诚度防线</w:t>
      </w:r>
    </w:p>
    <w:p>
      <w:pPr>
        <w:pStyle w:val="Heading1"/>
      </w:pPr>
      <w:r>
        <w:t>综合市场分析</w:t>
      </w:r>
    </w:p>
    <w:p>
      <w:pPr>
        <w:pStyle w:val="Heading2"/>
      </w:pPr>
      <w:r>
        <w:t>市场表现对比</w:t>
      </w:r>
    </w:p>
    <w:p>
      <w:r>
        <w:t>📊 增长率排名：</w:t>
      </w:r>
    </w:p>
    <w:p>
      <w:r>
        <w:t>1. 安心唐：年均增长15%，细分市场领导者</w:t>
      </w:r>
    </w:p>
    <w:p>
      <w:r>
        <w:t>2. 康水期：年均增长12%，大众市场明星产品</w:t>
      </w:r>
    </w:p>
    <w:p>
      <w:r>
        <w:t>3. 赢飞凡：年均增长8%，高端市场稳定增长</w:t>
      </w:r>
    </w:p>
    <w:p>
      <w:pPr>
        <w:pStyle w:val="Heading2"/>
      </w:pPr>
      <w:r>
        <w:t>新冠疫情影响分析</w:t>
      </w:r>
    </w:p>
    <w:p>
      <w:r>
        <w:t>🦠 疫情对不同品牌的差异化影响：</w:t>
      </w:r>
    </w:p>
    <w:p>
      <w:r>
        <w:t>• 赢飞凡：高端消费受冲击，2020年销量下降40%</w:t>
      </w:r>
    </w:p>
    <w:p>
      <w:r>
        <w:t>• 康水期：居家护肤需求增加，面膜销量逆势增长10%</w:t>
      </w:r>
    </w:p>
    <w:p>
      <w:r>
        <w:t>• 安心唐：孕妇护肤意识提升，销量增长20%</w:t>
      </w:r>
    </w:p>
    <w:p>
      <w:pPr>
        <w:pStyle w:val="Heading2"/>
      </w:pPr>
      <w:r>
        <w:t>品牌间相互影响分析</w:t>
      </w:r>
    </w:p>
    <w:p>
      <w:r>
        <w:t>🔗 品牌神级协同效应：</w:t>
      </w:r>
    </w:p>
    <w:p>
      <w:r>
        <w:t>• 赢飞凡+康水期：形成'补水+抗衰'无敌护肤方案，效果爆表</w:t>
      </w:r>
    </w:p>
    <w:p>
      <w:r>
        <w:t>• 协同销售奇迹：2020年起消费者护肤意识爆发，搭配购买狂潮来袭</w:t>
      </w:r>
    </w:p>
    <w:p>
      <w:r>
        <w:t>• 互补性神效：不同价位和功效完美契合，消费升级需求暴涨</w:t>
      </w:r>
    </w:p>
    <w:p>
      <w:r>
        <w:t>• 交叉营销奇迹：通过一个品牌疯狂带动另一品牌销量飙升45-65%</w:t>
      </w:r>
    </w:p>
    <w:p>
      <w:r>
        <w:t>⚔️ 品牌血腥竞争关系：</w:t>
      </w:r>
    </w:p>
    <w:p>
      <w:r>
        <w:t>• 康水期vs安心唐：基础护肤品类的殊死较量，战况惨烈</w:t>
      </w:r>
    </w:p>
    <w:p>
      <w:r>
        <w:t>• 竞争白热化时期：2020年后市场厮杀激烈，用户争夺进入血战模式</w:t>
      </w:r>
    </w:p>
    <w:p>
      <w:r>
        <w:t>• 差异化生死战：康水期大众化突围，安心唐专业化死守阵地</w:t>
      </w:r>
    </w:p>
    <w:p>
      <w:r>
        <w:t>• 市场分化求生：竞争推动各品牌向细分领域疯狂深耕，避免正面血拼</w:t>
      </w:r>
    </w:p>
    <w:p>
      <w:pPr>
        <w:pStyle w:val="Heading2"/>
      </w:pPr>
      <w:r>
        <w:t>定价策略演变分析</w:t>
      </w:r>
    </w:p>
    <w:p>
      <w:r>
        <w:t>💰 各品牌定价策略的周期性特征：</w:t>
      </w:r>
    </w:p>
    <w:p>
      <w:r>
        <w:t>• 市场培育期：新品牌通过稳定价格建立市场信任</w:t>
      </w:r>
    </w:p>
    <w:p>
      <w:r>
        <w:t>• 增长期：随着品牌认知度提升，适度调整价格体现价值</w:t>
      </w:r>
    </w:p>
    <w:p>
      <w:r>
        <w:t>• 成熟期：基于成本变化和竞争环境灵活调价</w:t>
      </w:r>
    </w:p>
    <w:p>
      <w:r>
        <w:t>• 特殊时期：疫情等外部因素影响下的价格策略调整</w:t>
      </w:r>
    </w:p>
    <w:p>
      <w:r>
        <w:t>• 季节性调价：根据需求旺季和促销节点进行价格优化</w:t>
      </w:r>
    </w:p>
    <w:p>
      <w:r>
        <w:br/>
        <w:t>📊 价格变动的主要驱动因素：</w:t>
      </w:r>
    </w:p>
    <w:p>
      <w:r>
        <w:t>• 原材料成本波动：影响基础定价策略</w:t>
      </w:r>
    </w:p>
    <w:p>
      <w:r>
        <w:t>• 品牌价值提升：支撑产品溢价能力</w:t>
      </w:r>
    </w:p>
    <w:p>
      <w:r>
        <w:t>• 市场竞争态势：决定价格调整空间</w:t>
      </w:r>
    </w:p>
    <w:p>
      <w:r>
        <w:t>• 消费者接受度：影响价格策略的执行效果</w:t>
      </w:r>
    </w:p>
    <w:p>
      <w:r>
        <w:t>• 渠道政策变化：促销活动和渠道返利影响终端价格</w:t>
      </w:r>
    </w:p>
    <w:p>
      <w:r>
        <w:t>• 品牌间相互影响：协同效应和竞争关系对定价的影响</w:t>
      </w:r>
    </w:p>
    <w:p>
      <w:pPr>
        <w:pStyle w:val="Heading2"/>
      </w:pPr>
      <w:r>
        <w:t>市场机遇与挑战</w:t>
      </w:r>
    </w:p>
    <w:p>
      <w:r>
        <w:t>🎯 机遇：</w:t>
      </w:r>
    </w:p>
    <w:p>
      <w:r>
        <w:t>• 消费升级趋势持续</w:t>
      </w:r>
    </w:p>
    <w:p>
      <w:r>
        <w:t>• 线上渠道快速发展</w:t>
      </w:r>
    </w:p>
    <w:p>
      <w:r>
        <w:t>• 细分市场需求增长</w:t>
      </w:r>
    </w:p>
    <w:p>
      <w:r>
        <w:t>• 国货品牌认知度提升</w:t>
      </w:r>
    </w:p>
    <w:p>
      <w:r>
        <w:t>⚠️ 挑战：</w:t>
      </w:r>
    </w:p>
    <w:p>
      <w:r>
        <w:t>• 市场竞争加剧</w:t>
      </w:r>
    </w:p>
    <w:p>
      <w:r>
        <w:t>• 原材料成本上涨</w:t>
      </w:r>
    </w:p>
    <w:p>
      <w:r>
        <w:t>• 监管政策趋严</w:t>
      </w:r>
    </w:p>
    <w:p>
      <w:r>
        <w:t>• 消费者需求多样化</w:t>
      </w:r>
    </w:p>
    <w:p>
      <w:pPr>
        <w:pStyle w:val="Heading1"/>
      </w:pPr>
      <w:r>
        <w:t>未来发展规划（2026-2028）</w:t>
      </w:r>
    </w:p>
    <w:p>
      <w:pPr>
        <w:pStyle w:val="Heading2"/>
      </w:pPr>
      <w:r>
        <w:t>赢飞凡发展规划</w:t>
      </w:r>
    </w:p>
    <w:p>
      <w:r>
        <w:t>🎯 战略目标：巩固高端市场地位，年销量突破20万件</w:t>
      </w:r>
    </w:p>
    <w:p>
      <w:r>
        <w:t>📋 具体措施：</w:t>
      </w:r>
    </w:p>
    <w:p>
      <w:r>
        <w:t>• 产品升级：推出超浓缩精华液系列</w:t>
      </w:r>
    </w:p>
    <w:p>
      <w:r>
        <w:t>• 渠道拓展：进入高端百货和免税店</w:t>
      </w:r>
    </w:p>
    <w:p>
      <w:r>
        <w:t>• 品牌建设：邀请国际明星代言</w:t>
      </w:r>
    </w:p>
    <w:p>
      <w:r>
        <w:t>• 技术创新：投资研发新型抗衰成分</w:t>
      </w:r>
    </w:p>
    <w:p>
      <w:r>
        <w:t>• 协同营销：深化与康水期的搭配销售策略</w:t>
      </w:r>
    </w:p>
    <w:p>
      <w:r>
        <w:t>• 套装开发：推出'补水+抗衰'组合装，提升客单价</w:t>
      </w:r>
    </w:p>
    <w:p>
      <w:pPr>
        <w:pStyle w:val="Heading2"/>
      </w:pPr>
      <w:r>
        <w:t>康水期发展规划</w:t>
      </w:r>
    </w:p>
    <w:p>
      <w:r>
        <w:t>🎯 战略目标：成为面膜品类领导品牌，年销量突破50万件</w:t>
      </w:r>
    </w:p>
    <w:p>
      <w:r>
        <w:t>📋 具体措施：</w:t>
      </w:r>
    </w:p>
    <w:p>
      <w:r>
        <w:t>• 产品线扩展：推出不同功效的面膜系列</w:t>
      </w:r>
    </w:p>
    <w:p>
      <w:r>
        <w:t>• 渠道下沉：进入三四线城市市场</w:t>
      </w:r>
    </w:p>
    <w:p>
      <w:r>
        <w:t>• 营销创新：KOL合作和社交媒体营销</w:t>
      </w:r>
    </w:p>
    <w:p>
      <w:r>
        <w:t>• 供应链优化：建设自有生产基地</w:t>
      </w:r>
    </w:p>
    <w:p>
      <w:r>
        <w:t>• 协同发展：与赢飞凡联合推广'护肤三步法'理念</w:t>
      </w:r>
    </w:p>
    <w:p>
      <w:r>
        <w:t>• 差异化竞争：避开与安心唐的直接冲突，专注大众市场</w:t>
      </w:r>
    </w:p>
    <w:p>
      <w:r>
        <w:t>• 渠道策略：重点布局线上平台，与安心唐形成渠道差异</w:t>
      </w:r>
    </w:p>
    <w:p>
      <w:pPr>
        <w:pStyle w:val="Heading2"/>
      </w:pPr>
      <w:r>
        <w:t>安心唐发展规划</w:t>
      </w:r>
    </w:p>
    <w:p>
      <w:r>
        <w:t>🎯 战略目标：扩展母婴护肤全品类，年销量突破15万件</w:t>
      </w:r>
    </w:p>
    <w:p>
      <w:r>
        <w:t>📋 具体措施：</w:t>
      </w:r>
    </w:p>
    <w:p>
      <w:r>
        <w:t>• 产品扩展：推出婴幼儿护肤系列</w:t>
      </w:r>
    </w:p>
    <w:p>
      <w:r>
        <w:t>• 专业认证：获得更多医院和专家推荐</w:t>
      </w:r>
    </w:p>
    <w:p>
      <w:r>
        <w:t>• 教育营销：开展孕期护肤知识普及</w:t>
      </w:r>
    </w:p>
    <w:p>
      <w:r>
        <w:t>• 渠道合作：与母婴店和医院合作</w:t>
      </w:r>
    </w:p>
    <w:p>
      <w:r>
        <w:t>• 竞争应对：强化专业化定位，避免与康水期价格战</w:t>
      </w:r>
    </w:p>
    <w:p>
      <w:r>
        <w:t>• 护城河建设：通过医学认证和专家背书提升品牌壁垒</w:t>
      </w:r>
    </w:p>
    <w:p>
      <w:r>
        <w:t>• 细分深耕：专注孕产妇群体，建立用户生命周期管理</w:t>
      </w:r>
    </w:p>
    <w:p>
      <w:pPr>
        <w:pStyle w:val="Heading2"/>
      </w:pPr>
      <w:r>
        <w:t>整体预期</w:t>
      </w:r>
    </w:p>
    <w:p>
      <w:r>
        <w:t>📈 2026-2028年预期：</w:t>
      </w:r>
    </w:p>
    <w:p>
      <w:r>
        <w:t>• 三个品牌总销量预计突破85万件</w:t>
      </w:r>
    </w:p>
    <w:p>
      <w:r>
        <w:t>• 总销售额预计达到8亿元</w:t>
      </w:r>
    </w:p>
    <w:p>
      <w:r>
        <w:t>• 市场份额在各自细分领域均进入前三</w:t>
      </w:r>
    </w:p>
    <w:p>
      <w:r>
        <w:t>• 品牌价值和消费者认知度显著提升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