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精华液配方分析报告</w:t>
      </w:r>
    </w:p>
    <w:p>
      <w:pPr>
        <w:pStyle w:val="Heading1"/>
      </w:pPr>
      <w:r>
        <w:t>引言</w:t>
      </w:r>
    </w:p>
    <w:p>
      <w:r>
        <w:t>精华液作为现代护肤品中的核心产品，承载着高浓度活性成分的输送任务。其配方设计需要在功效性、稳定性、安全性和感官体验之间找到平衡。本报告深入分析精华液的配方原理、技术要点和质量控制标准，为配方师和品牌方提供专业指导。</w:t>
      </w:r>
    </w:p>
    <w:p>
      <w:pPr>
        <w:pStyle w:val="Heading1"/>
      </w:pPr>
      <w:r>
        <w:t>第一章 精华液配方基础理论</w:t>
      </w:r>
    </w:p>
    <w:p>
      <w:pPr>
        <w:pStyle w:val="Heading2"/>
      </w:pPr>
      <w:r>
        <w:t>1.1 配方基础结构</w:t>
      </w:r>
    </w:p>
    <w:p>
      <w:r>
        <w:t>精华液的基本配方组成包括：</w:t>
      </w:r>
    </w:p>
    <w:p>
      <w:r>
        <w:t>• 水相系统（60-90%）：</w:t>
      </w:r>
    </w:p>
    <w:p>
      <w:r>
        <w:t xml:space="preserve">  - 去离子水：作为溶剂和载体</w:t>
      </w:r>
    </w:p>
    <w:p>
      <w:r>
        <w:t xml:space="preserve">  - 保湿剂：甘油、丁二醇、透明质酸等</w:t>
      </w:r>
    </w:p>
    <w:p>
      <w:r>
        <w:t xml:space="preserve">  - 水溶性活性成分：烟酰胺、维生素C等</w:t>
      </w:r>
    </w:p>
    <w:p>
      <w:r>
        <w:t>• 油相系统（5-20%）：</w:t>
      </w:r>
    </w:p>
    <w:p>
      <w:r>
        <w:t xml:space="preserve">  - 植物油：荷荷巴油、角鲨烷等</w:t>
      </w:r>
    </w:p>
    <w:p>
      <w:r>
        <w:t xml:space="preserve">  - 脂肪酸：硬脂酸、棕榈酸等</w:t>
      </w:r>
    </w:p>
    <w:p>
      <w:r>
        <w:t xml:space="preserve">  - 脂溶性成分：维生素E、植物甾醇等</w:t>
      </w:r>
    </w:p>
    <w:p>
      <w:r>
        <w:t>• 功能性添加剂（1-10%）：</w:t>
      </w:r>
    </w:p>
    <w:p>
      <w:r>
        <w:t xml:space="preserve">  - 乳化剂：聚甘油脂肪酸酯、卵磷脂等</w:t>
      </w:r>
    </w:p>
    <w:p>
      <w:r>
        <w:t xml:space="preserve">  - 防腐剂：苯氧乙醇、山梨酸钾等</w:t>
      </w:r>
    </w:p>
    <w:p>
      <w:r>
        <w:t xml:space="preserve">  - 调节剂：柠檬酸、氢氧化钠等</w:t>
      </w:r>
    </w:p>
    <w:p>
      <w:pPr>
        <w:pStyle w:val="Heading2"/>
      </w:pPr>
      <w:r>
        <w:t>1.2 配方设计原则</w:t>
      </w:r>
    </w:p>
    <w:p>
      <w:r>
        <w:t>• 功效导向：明确产品定位和目标功效</w:t>
      </w:r>
    </w:p>
    <w:p>
      <w:r>
        <w:t>• 成分协同：避免成分间的拮抗作用</w:t>
      </w:r>
    </w:p>
    <w:p>
      <w:r>
        <w:t>• 稳定性优先：确保产品在货架期内稳定</w:t>
      </w:r>
    </w:p>
    <w:p>
      <w:r>
        <w:t>• 安全性保障：严格控制刺激性和致敏性</w:t>
      </w:r>
    </w:p>
    <w:p>
      <w:r>
        <w:t>• 感官优化：追求良好的使用体验</w:t>
      </w:r>
    </w:p>
    <w:p>
      <w:r>
        <w:t>• 成本控制：在预算范围内实现最佳配方</w:t>
      </w:r>
    </w:p>
    <w:p>
      <w:pPr>
        <w:pStyle w:val="Heading1"/>
      </w:pPr>
      <w:r>
        <w:t>第二章 配方技术要点</w:t>
      </w:r>
    </w:p>
    <w:p>
      <w:pPr>
        <w:pStyle w:val="Heading2"/>
      </w:pPr>
      <w:r>
        <w:t>2.1 活性成分配比原则</w:t>
      </w:r>
    </w:p>
    <w:p>
      <w:r>
        <w:t>常见活性成分的科学配比：</w:t>
      </w:r>
    </w:p>
    <w:p>
      <w:r>
        <w:t>• 透明质酸：</w:t>
      </w:r>
    </w:p>
    <w:p>
      <w:r>
        <w:t xml:space="preserve">  - 低分子量（&lt;50kDa）：0.05-0.1%，深层保湿</w:t>
      </w:r>
    </w:p>
    <w:p>
      <w:r>
        <w:t xml:space="preserve">  - 中分子量（50-1000kDa）：0.1-0.5%，表面保湿</w:t>
      </w:r>
    </w:p>
    <w:p>
      <w:r>
        <w:t xml:space="preserve">  - 高分子量（&gt;1000kDa）：0.5-2%，成膜保湿</w:t>
      </w:r>
    </w:p>
    <w:p>
      <w:r>
        <w:t>• 烟酰胺：</w:t>
      </w:r>
    </w:p>
    <w:p>
      <w:r>
        <w:t xml:space="preserve">  - 推荐浓度：2-5%</w:t>
      </w:r>
    </w:p>
    <w:p>
      <w:r>
        <w:t xml:space="preserve">  - 与维生素C间隔使用，避免烟酸生成</w:t>
      </w:r>
    </w:p>
    <w:p>
      <w:r>
        <w:t xml:space="preserve">  - pH值控制在5.0-7.0</w:t>
      </w:r>
    </w:p>
    <w:p>
      <w:r>
        <w:t>• 维生素C：</w:t>
      </w:r>
    </w:p>
    <w:p>
      <w:r>
        <w:t xml:space="preserve">  - L-抗坏血酸：5-20%，pH&lt;3.5</w:t>
      </w:r>
    </w:p>
    <w:p>
      <w:r>
        <w:t xml:space="preserve">  - 抗坏血酸磷酸镁：3-10%，pH 6.0-7.0</w:t>
      </w:r>
    </w:p>
    <w:p>
      <w:r>
        <w:t xml:space="preserve">  - 抗坏血酸葡糖苷：2-5%，稳定性好</w:t>
      </w:r>
    </w:p>
    <w:p>
      <w:r>
        <w:t>• 神经酰胺：</w:t>
      </w:r>
    </w:p>
    <w:p>
      <w:r>
        <w:t xml:space="preserve">  - 推荐浓度：0.2-1%</w:t>
      </w:r>
    </w:p>
    <w:p>
      <w:r>
        <w:t xml:space="preserve">  - 需要合适的载体系统</w:t>
      </w:r>
    </w:p>
    <w:p>
      <w:r>
        <w:t xml:space="preserve">  - 与胆固醇、脂肪酸配合使用</w:t>
      </w:r>
    </w:p>
    <w:p>
      <w:r>
        <w:t>• 多肽类：</w:t>
      </w:r>
    </w:p>
    <w:p>
      <w:r>
        <w:t xml:space="preserve">  - 信号肽：2-5%</w:t>
      </w:r>
    </w:p>
    <w:p>
      <w:r>
        <w:t xml:space="preserve">  - 载体肽：1-3%</w:t>
      </w:r>
    </w:p>
    <w:p>
      <w:r>
        <w:t xml:space="preserve">  - 神经肽：3-8%</w:t>
      </w:r>
    </w:p>
    <w:p>
      <w:pPr>
        <w:pStyle w:val="Heading2"/>
      </w:pPr>
      <w:r>
        <w:t>2.2 pH值控制策略</w:t>
      </w:r>
    </w:p>
    <w:p>
      <w:r>
        <w:t>不同成分的pH要求：</w:t>
      </w:r>
    </w:p>
    <w:p>
      <w:r>
        <w:t>• 酸性环境（pH 3.0-4.5）：</w:t>
      </w:r>
    </w:p>
    <w:p>
      <w:r>
        <w:t xml:space="preserve">  - L-抗坏血酸、果酸类</w:t>
      </w:r>
    </w:p>
    <w:p>
      <w:r>
        <w:t xml:space="preserve">  - 需要强效缓冲系统</w:t>
      </w:r>
    </w:p>
    <w:p>
      <w:r>
        <w:t>• 弱酸性环境（pH 4.5-6.5）：</w:t>
      </w:r>
    </w:p>
    <w:p>
      <w:r>
        <w:t xml:space="preserve">  - 大多数活性成分的最适pH</w:t>
      </w:r>
    </w:p>
    <w:p>
      <w:r>
        <w:t xml:space="preserve">  - 接近皮肤天然pH值</w:t>
      </w:r>
    </w:p>
    <w:p>
      <w:r>
        <w:t>• 中性环境（pH 6.5-7.5）：</w:t>
      </w:r>
    </w:p>
    <w:p>
      <w:r>
        <w:t xml:space="preserve">  - 敏感性成分、蛋白质类</w:t>
      </w:r>
    </w:p>
    <w:p>
      <w:r>
        <w:t xml:space="preserve">  - 稳定性较好</w:t>
      </w:r>
    </w:p>
    <w:p>
      <w:pPr>
        <w:pStyle w:val="Heading1"/>
      </w:pPr>
      <w:r>
        <w:t>第三章 配方稳定性控制</w:t>
      </w:r>
    </w:p>
    <w:p>
      <w:pPr>
        <w:pStyle w:val="Heading2"/>
      </w:pPr>
      <w:r>
        <w:t>3.1 物理稳定性</w:t>
      </w:r>
    </w:p>
    <w:p>
      <w:r>
        <w:t>影响精华液物理稳定性的关键因素：</w:t>
      </w:r>
    </w:p>
    <w:p>
      <w:r>
        <w:t>• 乳化体系稳定性：</w:t>
      </w:r>
    </w:p>
    <w:p>
      <w:r>
        <w:t xml:space="preserve">  - HLB值匹配：选择合适的乳化剂组合</w:t>
      </w:r>
    </w:p>
    <w:p>
      <w:r>
        <w:t xml:space="preserve">  - 粒径控制：纳米乳化技术应用</w:t>
      </w:r>
    </w:p>
    <w:p>
      <w:r>
        <w:t xml:space="preserve">  - 粘度调节：增稠剂的合理使用</w:t>
      </w:r>
    </w:p>
    <w:p>
      <w:r>
        <w:t>• 温度稳定性：</w:t>
      </w:r>
    </w:p>
    <w:p>
      <w:r>
        <w:t xml:space="preserve">  - 冷热循环测试：-5°C至45°C</w:t>
      </w:r>
    </w:p>
    <w:p>
      <w:r>
        <w:t xml:space="preserve">  - 高温加速试验：40°C，75%RH</w:t>
      </w:r>
    </w:p>
    <w:p>
      <w:r>
        <w:t>• 机械稳定性：</w:t>
      </w:r>
    </w:p>
    <w:p>
      <w:r>
        <w:t xml:space="preserve">  - 振动测试：模拟运输条件</w:t>
      </w:r>
    </w:p>
    <w:p>
      <w:r>
        <w:t xml:space="preserve">  - 离心测试：3000rpm，30分钟</w:t>
      </w:r>
    </w:p>
    <w:p>
      <w:pPr>
        <w:pStyle w:val="Heading2"/>
      </w:pPr>
      <w:r>
        <w:t>3.2 化学稳定性</w:t>
      </w:r>
    </w:p>
    <w:p>
      <w:r>
        <w:t>化学稳定性控制措施：</w:t>
      </w:r>
    </w:p>
    <w:p>
      <w:r>
        <w:t>• 抗氧化系统：</w:t>
      </w:r>
    </w:p>
    <w:p>
      <w:r>
        <w:t xml:space="preserve">  - 主抗氧化剂：BHT、BHA、生育酚</w:t>
      </w:r>
    </w:p>
    <w:p>
      <w:r>
        <w:t xml:space="preserve">  - 辅助抗氧化剂：抗坏血酸棕榈酸酯</w:t>
      </w:r>
    </w:p>
    <w:p>
      <w:r>
        <w:t xml:space="preserve">  - 螯合剂：EDTA、柠檬酸</w:t>
      </w:r>
    </w:p>
    <w:p>
      <w:r>
        <w:t>• 光稳定性：</w:t>
      </w:r>
    </w:p>
    <w:p>
      <w:r>
        <w:t xml:space="preserve">  - 避光包装：深色玻璃瓶、不透明材料</w:t>
      </w:r>
    </w:p>
    <w:p>
      <w:r>
        <w:t xml:space="preserve">  - 光稳定剂：二苯酮类、苯并三唑类</w:t>
      </w:r>
    </w:p>
    <w:p>
      <w:r>
        <w:t>• 水分活度控制：</w:t>
      </w:r>
    </w:p>
    <w:p>
      <w:r>
        <w:t xml:space="preserve">  - 目标Aw值：&lt;0.6</w:t>
      </w:r>
    </w:p>
    <w:p>
      <w:r>
        <w:t xml:space="preserve">  - 干燥剂使用：硅胶、分子筛</w:t>
      </w:r>
    </w:p>
    <w:p>
      <w:pPr>
        <w:pStyle w:val="Heading2"/>
      </w:pPr>
      <w:r>
        <w:t>3.3 微生物稳定性</w:t>
      </w:r>
    </w:p>
    <w:p>
      <w:r>
        <w:t>防腐系统设计：</w:t>
      </w:r>
    </w:p>
    <w:p>
      <w:r>
        <w:t>• 防腐剂选择：</w:t>
      </w:r>
    </w:p>
    <w:p>
      <w:r>
        <w:t xml:space="preserve">  - 广谱性：对细菌、真菌、酵母有效</w:t>
      </w:r>
    </w:p>
    <w:p>
      <w:r>
        <w:t xml:space="preserve">  - 配伍性：与其他成分相容</w:t>
      </w:r>
    </w:p>
    <w:p>
      <w:r>
        <w:t xml:space="preserve">  - 安全性：低刺激、低致敏</w:t>
      </w:r>
    </w:p>
    <w:p>
      <w:r>
        <w:t>• 防腐增效：</w:t>
      </w:r>
    </w:p>
    <w:p>
      <w:r>
        <w:t xml:space="preserve">  - pH调节：酸性环境增强防腐效果</w:t>
      </w:r>
    </w:p>
    <w:p>
      <w:r>
        <w:t xml:space="preserve">  - 螯合剂：破坏微生物细胞壁</w:t>
      </w:r>
    </w:p>
    <w:p>
      <w:r>
        <w:t xml:space="preserve">  - 多元醇：降低水分活度</w:t>
      </w:r>
    </w:p>
    <w:p>
      <w:r>
        <w:br/>
        <w:t>🔍 关于敏感肌肤适用的精华液配方设计，请查看文档2第3.1节的面膜选择要点。</w:t>
      </w:r>
    </w:p>
    <w:p>
      <w:r>
        <w:t>📋 孕期可用的精华液成分安全性评估，请参考文档3第2.3节的安全成分推荐。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