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Tommy-Cat Agent</w:t>
      </w:r>
    </w:p>
    <w:p>
      <w:pPr>
        <w:jc w:val="center"/>
      </w:pPr>
      <w:r>
        <w:rPr>
          <w:color w:val="555555"/>
          <w:sz w:val="36"/>
        </w:rPr>
        <w:t>通用任务智能体 · 使用手册</w:t>
      </w:r>
    </w:p>
    <w:p/>
    <w:p>
      <w:pPr>
        <w:jc w:val="center"/>
      </w:pPr>
      <w:r>
        <w:rPr>
          <w:color w:val="777777"/>
          <w:sz w:val="24"/>
        </w:rPr>
        <w:t>版本: v0.1.0</w:t>
        <w:br/>
        <w:t>2026年7月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概述</w:t>
      </w:r>
    </w:p>
    <w:p>
      <w:pPr>
        <w:spacing w:after="80"/>
      </w:pPr>
      <w:r>
        <w:t>2. 系统要求与安装</w:t>
      </w:r>
    </w:p>
    <w:p>
      <w:pPr>
        <w:spacing w:after="80"/>
      </w:pPr>
      <w:r>
        <w:t>3. 快速开始</w:t>
      </w:r>
    </w:p>
    <w:p>
      <w:pPr>
        <w:spacing w:after="80"/>
      </w:pPr>
      <w:r>
        <w:t>4. 配置说明</w:t>
      </w:r>
    </w:p>
    <w:p>
      <w:pPr>
        <w:spacing w:after="80"/>
      </w:pPr>
      <w:r>
        <w:t>5. 命令行交互</w:t>
      </w:r>
    </w:p>
    <w:p>
      <w:pPr>
        <w:spacing w:after="80"/>
      </w:pPr>
      <w:r>
        <w:t>6. 模型接入指南</w:t>
      </w:r>
    </w:p>
    <w:p>
      <w:pPr>
        <w:spacing w:after="80"/>
      </w:pPr>
      <w:r>
        <w:t>7. 安全策略配置</w:t>
      </w:r>
    </w:p>
    <w:p>
      <w:pPr>
        <w:spacing w:after="80"/>
      </w:pPr>
      <w:r>
        <w:t>8. Skill 系统</w:t>
      </w:r>
    </w:p>
    <w:p>
      <w:pPr>
        <w:spacing w:after="80"/>
      </w:pPr>
      <w:r>
        <w:t>9. 健康自检 (Doctor)</w:t>
      </w:r>
    </w:p>
    <w:p>
      <w:pPr>
        <w:spacing w:after="80"/>
      </w:pPr>
      <w:r>
        <w:t>10. 内置工具</w:t>
      </w:r>
    </w:p>
    <w:p>
      <w:pPr>
        <w:spacing w:after="80"/>
      </w:pPr>
      <w:r>
        <w:t>11. 故障排除与 FAQ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Tommy-Cat Agent 是一个基于 Go 语言开发的通用任务智能体，采用 ReAct（Reasoning + Acting）执行循环，支持多模型接入、工具调用、三层记忆系统、可配置安全策略和 Skill 自动生成等特性。</w:t>
      </w:r>
    </w:p>
    <w:p>
      <w:r>
        <w:t>核心特性：</w:t>
      </w:r>
    </w:p>
    <w:p>
      <w:pPr>
        <w:pStyle w:val="ListBullet"/>
      </w:pPr>
      <w:r>
        <w:t>配置驱动的模型接入 — 任何兼容 OpenAI Chat Completions API 的服务均可通过 YAML 配置接入，无需修改代码</w:t>
      </w:r>
    </w:p>
    <w:p>
      <w:pPr>
        <w:pStyle w:val="ListBullet"/>
      </w:pPr>
      <w:r>
        <w:t>ReAct 执行引擎 — 思考→行动→观察循环，支持多步骤复杂任务</w:t>
      </w:r>
    </w:p>
    <w:p>
      <w:pPr>
        <w:pStyle w:val="ListBullet"/>
      </w:pPr>
      <w:r>
        <w:t>安全策略引擎 — 声明式 YAML 策略，支持拦截、脱敏、审批、限流等多种效果</w:t>
      </w:r>
    </w:p>
    <w:p>
      <w:pPr>
        <w:pStyle w:val="ListBullet"/>
      </w:pPr>
      <w:r>
        <w:t>Skill 自动生成 — 从执行轨迹中自动提取可复用技能</w:t>
      </w:r>
    </w:p>
    <w:p>
      <w:pPr>
        <w:pStyle w:val="ListBullet"/>
      </w:pPr>
      <w:r>
        <w:t>三层记忆系统 — 工作记忆、情景记忆、语义记忆</w:t>
      </w:r>
    </w:p>
    <w:p>
      <w:pPr>
        <w:pStyle w:val="ListBullet"/>
      </w:pPr>
      <w:r>
        <w:t>健康自检 — 内置 Doctor 系统，自动检测并修复常见问题</w:t>
      </w:r>
    </w:p>
    <w:p>
      <w:pPr>
        <w:pStyle w:val="Heading1"/>
      </w:pPr>
      <w:r>
        <w:t>2. 系统要求与安装</w:t>
      </w:r>
    </w:p>
    <w:p>
      <w:pPr>
        <w:pStyle w:val="Heading2"/>
      </w:pPr>
      <w:r>
        <w:t>2.1 系统要求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3"/>
          </w:tcPr>
          <w:p>
            <w:r>
              <w:t>操作系统</w:t>
            </w:r>
          </w:p>
        </w:tc>
        <w:tc>
          <w:tcPr>
            <w:tcW w:type="dxa" w:w="4323"/>
          </w:tcPr>
          <w:p>
            <w:r>
              <w:t>macOS / Linux / Windows</w:t>
            </w:r>
          </w:p>
        </w:tc>
      </w:tr>
      <w:tr>
        <w:tc>
          <w:tcPr>
            <w:tcW w:type="dxa" w:w="4323"/>
          </w:tcPr>
          <w:p>
            <w:r>
              <w:t>Go 版本</w:t>
            </w:r>
          </w:p>
        </w:tc>
        <w:tc>
          <w:tcPr>
            <w:tcW w:type="dxa" w:w="4323"/>
          </w:tcPr>
          <w:p>
            <w:r>
              <w:t>1.22 或更高</w:t>
            </w:r>
          </w:p>
        </w:tc>
      </w:tr>
      <w:tr>
        <w:tc>
          <w:tcPr>
            <w:tcW w:type="dxa" w:w="4323"/>
          </w:tcPr>
          <w:p>
            <w:r>
              <w:t>网络</w:t>
            </w:r>
          </w:p>
        </w:tc>
        <w:tc>
          <w:tcPr>
            <w:tcW w:type="dxa" w:w="4323"/>
          </w:tcPr>
          <w:p>
            <w:r>
              <w:t>需要访问 LLM API 端点</w:t>
            </w:r>
          </w:p>
        </w:tc>
      </w:tr>
      <w:tr>
        <w:tc>
          <w:tcPr>
            <w:tcW w:type="dxa" w:w="4323"/>
          </w:tcPr>
          <w:p>
            <w:r>
              <w:t>磁盘空间</w:t>
            </w:r>
          </w:p>
        </w:tc>
        <w:tc>
          <w:tcPr>
            <w:tcW w:type="dxa" w:w="4323"/>
          </w:tcPr>
          <w:p>
            <w:r>
              <w:t>约 50MB（含依赖）</w:t>
            </w:r>
          </w:p>
        </w:tc>
      </w:tr>
    </w:tbl>
    <w:p/>
    <w:p>
      <w:pPr>
        <w:pStyle w:val="Heading2"/>
      </w:pPr>
      <w:r>
        <w:t>2.2 获取代码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git clone &lt;repository-url&gt;</w:t>
        <w:br/>
        <w:t>cd tommy-cat</w:t>
      </w:r>
    </w:p>
    <w:p>
      <w:pPr>
        <w:pStyle w:val="Heading2"/>
      </w:pPr>
      <w:r>
        <w:t>2.3 编译构建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# 设置 Go 代理（国内网络推荐）</w:t>
        <w:br/>
        <w:t>export GOPROXY=https://goproxy.cn,direct</w:t>
        <w:br/>
        <w:br/>
        <w:t># 下载依赖</w:t>
        <w:br/>
        <w:t>go mod tidy</w:t>
        <w:br/>
        <w:br/>
        <w:t># 编译</w:t>
        <w:br/>
        <w:t>go build -o bin/tommy-agent ./cmd/agent</w:t>
      </w:r>
    </w:p>
    <w:p>
      <w:pPr>
        <w:pStyle w:val="Heading2"/>
      </w:pPr>
      <w:r>
        <w:t>2.4 配置环境变量</w:t>
      </w:r>
    </w:p>
    <w:p>
      <w:r>
        <w:t>Agent 通过环境变量读取 API 密钥，避免将密钥硬编码在配置文件中：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export DEEPSEEK_API_KEY="sk-your-deepseek-key"</w:t>
        <w:br/>
        <w:t>export DASHSCOPE_API_KEY="sk-your-dashscope-key"</w:t>
        <w:br/>
        <w:br/>
        <w:t># 可选：覆盖默认迭代次数和工作目录</w:t>
        <w:br/>
        <w:t>export AGENT_MAX_ITERATIONS=30</w:t>
        <w:br/>
        <w:t>export AGENT_WORK_DIR=/path/to/sandbox</w:t>
      </w:r>
    </w:p>
    <w:p>
      <w:pPr>
        <w:pStyle w:val="Heading1"/>
      </w:pPr>
      <w:r>
        <w:t>3. 快速开始</w:t>
      </w:r>
    </w:p>
    <w:p>
      <w:pPr>
        <w:pStyle w:val="Heading2"/>
      </w:pPr>
      <w:r>
        <w:t>3.1 启动 Agent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# 使用默认配置 (config/config.yaml)</w:t>
        <w:br/>
        <w:t>./bin/tommy-agent</w:t>
        <w:br/>
        <w:br/>
        <w:t># 指定配置文件</w:t>
        <w:br/>
        <w:t>./bin/tommy-agent /path/to/custom-config.yaml</w:t>
      </w:r>
    </w:p>
    <w:p>
      <w:r>
        <w:t>启动后会显示 ASCII Banner 和已加载的模型供应商列表，并自动执行快速自检。若发现严重问题会提示运行 /doctor。</w:t>
      </w:r>
    </w:p>
    <w:p>
      <w:pPr>
        <w:pStyle w:val="Heading2"/>
      </w:pPr>
      <w:r>
        <w:t>3.2 执行任务</w:t>
      </w:r>
    </w:p>
    <w:p>
      <w:r>
        <w:t>在提示符后直接输入任务描述即可：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&gt; 帮我搜索 Go 1.22 的新特性并总结</w:t>
        <w:br/>
        <w:t xml:space="preserve">  [执行中...]</w:t>
        <w:br/>
        <w:t xml:space="preserve">  [完成] (耗时 3.2s, Token: 1847)</w:t>
        <w:br/>
        <w:t xml:space="preserve">  Go 1.22 主要新特性包括...</w:t>
      </w:r>
    </w:p>
    <w:p>
      <w:pPr>
        <w:pStyle w:val="Heading2"/>
      </w:pPr>
      <w:r>
        <w:t>3.3 退出</w:t>
      </w:r>
    </w:p>
    <w:p>
      <w:r>
        <w:t>输入 /quit 或按 Ctrl+C 退出程序。</w:t>
      </w:r>
    </w:p>
    <w:p>
      <w:pPr>
        <w:pStyle w:val="Heading1"/>
      </w:pPr>
      <w:r>
        <w:t>4. 配置说明</w:t>
      </w:r>
    </w:p>
    <w:p>
      <w:r>
        <w:t>配置文件位于 config/config.yaml，采用 YAML 格式。所有模型接入均通过声明式配置完成，无需修改代码。</w:t>
      </w:r>
    </w:p>
    <w:p>
      <w:pPr>
        <w:pStyle w:val="Heading2"/>
      </w:pPr>
      <w:r>
        <w:t>4.1 完整配置结构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llm:</w:t>
        <w:br/>
        <w:t xml:space="preserve">  default_provider: "deepseek"      # 默认供应商</w:t>
        <w:br/>
        <w:t xml:space="preserve">  fallback_provider: "qwen"         # 降级供应商</w:t>
        <w:br/>
        <w:t xml:space="preserve">  providers:</w:t>
        <w:br/>
        <w:t xml:space="preserve">    deepseek:</w:t>
        <w:br/>
        <w:t xml:space="preserve">      base_url: "https://api.deepseek.com/chat/completions"</w:t>
        <w:br/>
        <w:t xml:space="preserve">      api_key: "${DEEPSEEK_API_KEY}"   # 支持环境变量</w:t>
        <w:br/>
        <w:t xml:space="preserve">      model: "deepseek-chat"</w:t>
        <w:br/>
        <w:t xml:space="preserve">      max_tokens: 65536</w:t>
        <w:br/>
        <w:t xml:space="preserve">      timeout: "120s"</w:t>
        <w:br/>
        <w:t xml:space="preserve">    qwen:</w:t>
        <w:br/>
        <w:t xml:space="preserve">      base_url: "https://dashscope.aliyuncs.com/compatible-mode/v1/chat/completions"</w:t>
        <w:br/>
        <w:t xml:space="preserve">      api_key: "${DASHSCOPE_API_KEY}"</w:t>
        <w:br/>
        <w:t xml:space="preserve">      model: "qwen-max"</w:t>
        <w:br/>
        <w:t xml:space="preserve">      max_tokens: 32768</w:t>
        <w:br/>
        <w:t xml:space="preserve">      timeout: "90s"</w:t>
        <w:br/>
        <w:br/>
        <w:t>engine:</w:t>
        <w:br/>
        <w:t xml:space="preserve">  max_iterations: 20               # ReAct 最大循环次数</w:t>
        <w:br/>
        <w:t xml:space="preserve">  system_prompt: ""                # 自定义系统提示词（空则用默认）</w:t>
        <w:br/>
        <w:br/>
        <w:t>policy_file: "config/policy.yaml"  # 安全策略文件路径</w:t>
        <w:br/>
        <w:t>skill_store_path: "data/skills.json"  # Skill 存储路径</w:t>
        <w:br/>
        <w:t>work_dir: "."                      # 工作目录（文件操作沙箱）</w:t>
      </w:r>
    </w:p>
    <w:p>
      <w:pPr>
        <w:pStyle w:val="Heading2"/>
      </w:pPr>
      <w:r>
        <w:t>4.2 配置项说明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llm.default_provider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deepseek</w:t>
            </w:r>
          </w:p>
        </w:tc>
        <w:tc>
          <w:tcPr>
            <w:tcW w:type="dxa" w:w="2161"/>
          </w:tcPr>
          <w:p>
            <w:r>
              <w:t>未指定模型时使用的供应商</w:t>
            </w:r>
          </w:p>
        </w:tc>
      </w:tr>
      <w:tr>
        <w:tc>
          <w:tcPr>
            <w:tcW w:type="dxa" w:w="2161"/>
          </w:tcPr>
          <w:p>
            <w:r>
              <w:t>llm.fallback_provider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qwen</w:t>
            </w:r>
          </w:p>
        </w:tc>
        <w:tc>
          <w:tcPr>
            <w:tcW w:type="dxa" w:w="2161"/>
          </w:tcPr>
          <w:p>
            <w:r>
              <w:t>主供应商失败时自动切换</w:t>
            </w:r>
          </w:p>
        </w:tc>
      </w:tr>
      <w:tr>
        <w:tc>
          <w:tcPr>
            <w:tcW w:type="dxa" w:w="2161"/>
          </w:tcPr>
          <w:p>
            <w:r>
              <w:t>llm.providers.&lt;name&gt;.base_url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—</w:t>
            </w:r>
          </w:p>
        </w:tc>
        <w:tc>
          <w:tcPr>
            <w:tcW w:type="dxa" w:w="2161"/>
          </w:tcPr>
          <w:p>
            <w:r>
              <w:t>OpenAI 兼容 API 地址</w:t>
            </w:r>
          </w:p>
        </w:tc>
      </w:tr>
      <w:tr>
        <w:tc>
          <w:tcPr>
            <w:tcW w:type="dxa" w:w="2161"/>
          </w:tcPr>
          <w:p>
            <w:r>
              <w:t>llm.providers.&lt;name&gt;.api_key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—</w:t>
            </w:r>
          </w:p>
        </w:tc>
        <w:tc>
          <w:tcPr>
            <w:tcW w:type="dxa" w:w="2161"/>
          </w:tcPr>
          <w:p>
            <w:r>
              <w:t>支持 ${ENV_VAR} 语法</w:t>
            </w:r>
          </w:p>
        </w:tc>
      </w:tr>
      <w:tr>
        <w:tc>
          <w:tcPr>
            <w:tcW w:type="dxa" w:w="2161"/>
          </w:tcPr>
          <w:p>
            <w:r>
              <w:t>llm.providers.&lt;name&gt;.model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—</w:t>
            </w:r>
          </w:p>
        </w:tc>
        <w:tc>
          <w:tcPr>
            <w:tcW w:type="dxa" w:w="2161"/>
          </w:tcPr>
          <w:p>
            <w:r>
              <w:t>模型名称</w:t>
            </w:r>
          </w:p>
        </w:tc>
      </w:tr>
      <w:tr>
        <w:tc>
          <w:tcPr>
            <w:tcW w:type="dxa" w:w="2161"/>
          </w:tcPr>
          <w:p>
            <w:r>
              <w:t>llm.providers.&lt;name&gt;.max_tokens</w:t>
            </w:r>
          </w:p>
        </w:tc>
        <w:tc>
          <w:tcPr>
            <w:tcW w:type="dxa" w:w="2161"/>
          </w:tcPr>
          <w:p>
            <w:r>
              <w:t>int</w:t>
            </w:r>
          </w:p>
        </w:tc>
        <w:tc>
          <w:tcPr>
            <w:tcW w:type="dxa" w:w="2161"/>
          </w:tcPr>
          <w:p>
            <w:r>
              <w:t>—</w:t>
            </w:r>
          </w:p>
        </w:tc>
        <w:tc>
          <w:tcPr>
            <w:tcW w:type="dxa" w:w="2161"/>
          </w:tcPr>
          <w:p>
            <w:r>
              <w:t>最大上下文 Token 数</w:t>
            </w:r>
          </w:p>
        </w:tc>
      </w:tr>
      <w:tr>
        <w:tc>
          <w:tcPr>
            <w:tcW w:type="dxa" w:w="2161"/>
          </w:tcPr>
          <w:p>
            <w:r>
              <w:t>llm.providers.&lt;name&gt;.timeout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120s</w:t>
            </w:r>
          </w:p>
        </w:tc>
        <w:tc>
          <w:tcPr>
            <w:tcW w:type="dxa" w:w="2161"/>
          </w:tcPr>
          <w:p>
            <w:r>
              <w:t>请求超时时间</w:t>
            </w:r>
          </w:p>
        </w:tc>
      </w:tr>
      <w:tr>
        <w:tc>
          <w:tcPr>
            <w:tcW w:type="dxa" w:w="2161"/>
          </w:tcPr>
          <w:p>
            <w:r>
              <w:t>llm.providers.&lt;name&gt;.headers</w:t>
            </w:r>
          </w:p>
        </w:tc>
        <w:tc>
          <w:tcPr>
            <w:tcW w:type="dxa" w:w="2161"/>
          </w:tcPr>
          <w:p>
            <w:r>
              <w:t>map</w:t>
            </w:r>
          </w:p>
        </w:tc>
        <w:tc>
          <w:tcPr>
            <w:tcW w:type="dxa" w:w="2161"/>
          </w:tcPr>
          <w:p>
            <w:r>
              <w:t>—</w:t>
            </w:r>
          </w:p>
        </w:tc>
        <w:tc>
          <w:tcPr>
            <w:tcW w:type="dxa" w:w="2161"/>
          </w:tcPr>
          <w:p>
            <w:r>
              <w:t>自定义请求头</w:t>
            </w:r>
          </w:p>
        </w:tc>
      </w:tr>
      <w:tr>
        <w:tc>
          <w:tcPr>
            <w:tcW w:type="dxa" w:w="2161"/>
          </w:tcPr>
          <w:p>
            <w:r>
              <w:t>engine.max_iterations</w:t>
            </w:r>
          </w:p>
        </w:tc>
        <w:tc>
          <w:tcPr>
            <w:tcW w:type="dxa" w:w="2161"/>
          </w:tcPr>
          <w:p>
            <w:r>
              <w:t>int</w:t>
            </w:r>
          </w:p>
        </w:tc>
        <w:tc>
          <w:tcPr>
            <w:tcW w:type="dxa" w:w="2161"/>
          </w:tcPr>
          <w:p>
            <w:r>
              <w:t>20</w:t>
            </w:r>
          </w:p>
        </w:tc>
        <w:tc>
          <w:tcPr>
            <w:tcW w:type="dxa" w:w="2161"/>
          </w:tcPr>
          <w:p>
            <w:r>
              <w:t>ReAct 循环最大步数</w:t>
            </w:r>
          </w:p>
        </w:tc>
      </w:tr>
      <w:tr>
        <w:tc>
          <w:tcPr>
            <w:tcW w:type="dxa" w:w="2161"/>
          </w:tcPr>
          <w:p>
            <w:r>
              <w:t>engine.system_prompt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内置默认</w:t>
            </w:r>
          </w:p>
        </w:tc>
        <w:tc>
          <w:tcPr>
            <w:tcW w:type="dxa" w:w="2161"/>
          </w:tcPr>
          <w:p>
            <w:r>
              <w:t>自定义系统提示词</w:t>
            </w:r>
          </w:p>
        </w:tc>
      </w:tr>
      <w:tr>
        <w:tc>
          <w:tcPr>
            <w:tcW w:type="dxa" w:w="2161"/>
          </w:tcPr>
          <w:p>
            <w:r>
              <w:t>policy_file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config/policy.yaml</w:t>
            </w:r>
          </w:p>
        </w:tc>
        <w:tc>
          <w:tcPr>
            <w:tcW w:type="dxa" w:w="2161"/>
          </w:tcPr>
          <w:p>
            <w:r>
              <w:t>安全策略文件路径</w:t>
            </w:r>
          </w:p>
        </w:tc>
      </w:tr>
      <w:tr>
        <w:tc>
          <w:tcPr>
            <w:tcW w:type="dxa" w:w="2161"/>
          </w:tcPr>
          <w:p>
            <w:r>
              <w:t>skill_store_path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data/skills.json</w:t>
            </w:r>
          </w:p>
        </w:tc>
        <w:tc>
          <w:tcPr>
            <w:tcW w:type="dxa" w:w="2161"/>
          </w:tcPr>
          <w:p>
            <w:r>
              <w:t>Skill 持久化存储路径</w:t>
            </w:r>
          </w:p>
        </w:tc>
      </w:tr>
      <w:tr>
        <w:tc>
          <w:tcPr>
            <w:tcW w:type="dxa" w:w="2161"/>
          </w:tcPr>
          <w:p>
            <w:r>
              <w:t>work_dir</w:t>
            </w:r>
          </w:p>
        </w:tc>
        <w:tc>
          <w:tcPr>
            <w:tcW w:type="dxa" w:w="2161"/>
          </w:tcPr>
          <w:p>
            <w:r>
              <w:t>string</w:t>
            </w:r>
          </w:p>
        </w:tc>
        <w:tc>
          <w:tcPr>
            <w:tcW w:type="dxa" w:w="2161"/>
          </w:tcPr>
          <w:p>
            <w:r>
              <w:t>.</w:t>
            </w:r>
          </w:p>
        </w:tc>
        <w:tc>
          <w:tcPr>
            <w:tcW w:type="dxa" w:w="2161"/>
          </w:tcPr>
          <w:p>
            <w:r>
              <w:t>文件操作沙箱范围</w:t>
            </w:r>
          </w:p>
        </w:tc>
      </w:tr>
    </w:tbl>
    <w:p/>
    <w:p>
      <w:pPr>
        <w:pStyle w:val="Heading2"/>
      </w:pPr>
      <w:r>
        <w:t>4.3 环境变量覆盖</w:t>
      </w:r>
    </w:p>
    <w:p>
      <w:r>
        <w:t>以下环境变量可覆盖配置文件中的对应项（优先级最高）：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环境变量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覆盖配置项</w:t>
            </w:r>
          </w:p>
        </w:tc>
      </w:tr>
      <w:tr>
        <w:tc>
          <w:tcPr>
            <w:tcW w:type="dxa" w:w="4323"/>
          </w:tcPr>
          <w:p>
            <w:r>
              <w:t>DEEPSEEK_API_KEY</w:t>
            </w:r>
          </w:p>
        </w:tc>
        <w:tc>
          <w:tcPr>
            <w:tcW w:type="dxa" w:w="4323"/>
          </w:tcPr>
          <w:p>
            <w:r>
              <w:t>llm.providers.deepseek.api_key</w:t>
            </w:r>
          </w:p>
        </w:tc>
      </w:tr>
      <w:tr>
        <w:tc>
          <w:tcPr>
            <w:tcW w:type="dxa" w:w="4323"/>
          </w:tcPr>
          <w:p>
            <w:r>
              <w:t>DASHSCOPE_API_KEY</w:t>
            </w:r>
          </w:p>
        </w:tc>
        <w:tc>
          <w:tcPr>
            <w:tcW w:type="dxa" w:w="4323"/>
          </w:tcPr>
          <w:p>
            <w:r>
              <w:t>llm.providers.qwen.api_key</w:t>
            </w:r>
          </w:p>
        </w:tc>
      </w:tr>
      <w:tr>
        <w:tc>
          <w:tcPr>
            <w:tcW w:type="dxa" w:w="4323"/>
          </w:tcPr>
          <w:p>
            <w:r>
              <w:t>AGENT_MAX_ITERATIONS</w:t>
            </w:r>
          </w:p>
        </w:tc>
        <w:tc>
          <w:tcPr>
            <w:tcW w:type="dxa" w:w="4323"/>
          </w:tcPr>
          <w:p>
            <w:r>
              <w:t>engine.max_iterations</w:t>
            </w:r>
          </w:p>
        </w:tc>
      </w:tr>
      <w:tr>
        <w:tc>
          <w:tcPr>
            <w:tcW w:type="dxa" w:w="4323"/>
          </w:tcPr>
          <w:p>
            <w:r>
              <w:t>AGENT_WORK_DIR</w:t>
            </w:r>
          </w:p>
        </w:tc>
        <w:tc>
          <w:tcPr>
            <w:tcW w:type="dxa" w:w="4323"/>
          </w:tcPr>
          <w:p>
            <w:r>
              <w:t>work_dir</w:t>
            </w:r>
          </w:p>
        </w:tc>
      </w:tr>
    </w:tbl>
    <w:p/>
    <w:p>
      <w:pPr>
        <w:pStyle w:val="Heading1"/>
      </w:pPr>
      <w:r>
        <w:t>5. 命令行交互</w:t>
      </w:r>
    </w:p>
    <w:p>
      <w:r>
        <w:t>Agent 启动后进入交互式 REPL 界面。直接输入自然语言描述即可执行任务，以 / 开头的输入被视为命令。</w:t>
      </w:r>
    </w:p>
    <w:p>
      <w:pPr>
        <w:pStyle w:val="Heading2"/>
      </w:pPr>
      <w:r>
        <w:t>5.1 可用命令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3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3"/>
          </w:tcPr>
          <w:p>
            <w:r>
              <w:t>/help</w:t>
            </w:r>
          </w:p>
        </w:tc>
        <w:tc>
          <w:tcPr>
            <w:tcW w:type="dxa" w:w="4323"/>
          </w:tcPr>
          <w:p>
            <w:r>
              <w:t>显示帮助信息</w:t>
            </w:r>
          </w:p>
        </w:tc>
      </w:tr>
      <w:tr>
        <w:tc>
          <w:tcPr>
            <w:tcW w:type="dxa" w:w="4323"/>
          </w:tcPr>
          <w:p>
            <w:r>
              <w:t>/quit 或 /exit 或 /q</w:t>
            </w:r>
          </w:p>
        </w:tc>
        <w:tc>
          <w:tcPr>
            <w:tcW w:type="dxa" w:w="4323"/>
          </w:tcPr>
          <w:p>
            <w:r>
              <w:t>退出程序</w:t>
            </w:r>
          </w:p>
        </w:tc>
      </w:tr>
      <w:tr>
        <w:tc>
          <w:tcPr>
            <w:tcW w:type="dxa" w:w="4323"/>
          </w:tcPr>
          <w:p>
            <w:r>
              <w:t>/doctor</w:t>
            </w:r>
          </w:p>
        </w:tc>
        <w:tc>
          <w:tcPr>
            <w:tcW w:type="dxa" w:w="4323"/>
          </w:tcPr>
          <w:p>
            <w:r>
              <w:t>运行完整健康自检（检测 + 自动修复）</w:t>
            </w:r>
          </w:p>
        </w:tc>
      </w:tr>
      <w:tr>
        <w:tc>
          <w:tcPr>
            <w:tcW w:type="dxa" w:w="4323"/>
          </w:tcPr>
          <w:p>
            <w:r>
              <w:t>/skills</w:t>
            </w:r>
          </w:p>
        </w:tc>
        <w:tc>
          <w:tcPr>
            <w:tcW w:type="dxa" w:w="4323"/>
          </w:tcPr>
          <w:p>
            <w:r>
              <w:t>列出所有已生成的 Skill</w:t>
            </w:r>
          </w:p>
        </w:tc>
      </w:tr>
      <w:tr>
        <w:tc>
          <w:tcPr>
            <w:tcW w:type="dxa" w:w="4323"/>
          </w:tcPr>
          <w:p>
            <w:r>
              <w:t>/skill &lt;id&gt;</w:t>
            </w:r>
          </w:p>
        </w:tc>
        <w:tc>
          <w:tcPr>
            <w:tcW w:type="dxa" w:w="4323"/>
          </w:tcPr>
          <w:p>
            <w:r>
              <w:t>查看指定 Skill 的详细信息</w:t>
            </w:r>
          </w:p>
        </w:tc>
      </w:tr>
      <w:tr>
        <w:tc>
          <w:tcPr>
            <w:tcW w:type="dxa" w:w="4323"/>
          </w:tcPr>
          <w:p>
            <w:r>
              <w:t>/policies</w:t>
            </w:r>
          </w:p>
        </w:tc>
        <w:tc>
          <w:tcPr>
            <w:tcW w:type="dxa" w:w="4323"/>
          </w:tcPr>
          <w:p>
            <w:r>
              <w:t>查看已加载的安全策略</w:t>
            </w:r>
          </w:p>
        </w:tc>
      </w:tr>
      <w:tr>
        <w:tc>
          <w:tcPr>
            <w:tcW w:type="dxa" w:w="4323"/>
          </w:tcPr>
          <w:p>
            <w:r>
              <w:t>/trace</w:t>
            </w:r>
          </w:p>
        </w:tc>
        <w:tc>
          <w:tcPr>
            <w:tcW w:type="dxa" w:w="4323"/>
          </w:tcPr>
          <w:p>
            <w:r>
              <w:t>查看最近一次执行的追踪信息</w:t>
            </w:r>
          </w:p>
        </w:tc>
      </w:tr>
      <w:tr>
        <w:tc>
          <w:tcPr>
            <w:tcW w:type="dxa" w:w="4323"/>
          </w:tcPr>
          <w:p>
            <w:r>
              <w:t>/clear</w:t>
            </w:r>
          </w:p>
        </w:tc>
        <w:tc>
          <w:tcPr>
            <w:tcW w:type="dxa" w:w="4323"/>
          </w:tcPr>
          <w:p>
            <w:r>
              <w:t>清空工作记忆</w:t>
            </w:r>
          </w:p>
        </w:tc>
      </w:tr>
    </w:tbl>
    <w:p/>
    <w:p>
      <w:pPr>
        <w:pStyle w:val="Heading2"/>
      </w:pPr>
      <w:r>
        <w:t>5.2 任务执行流程</w:t>
      </w:r>
    </w:p>
    <w:p>
      <w:r>
        <w:t>输入任务描述后，Agent 按以下流程处理：</w:t>
      </w:r>
    </w:p>
    <w:p>
      <w:r>
        <w:t>1. 安全策略检查 — 评估任务是否触发策略拦截</w:t>
      </w:r>
    </w:p>
    <w:p>
      <w:r>
        <w:t>2. Skill 匹配 — 检索是否有可复用的历史技能（置信度 &gt; 60% 时启用）</w:t>
      </w:r>
    </w:p>
    <w:p>
      <w:r>
        <w:t>3. ReAct 循环 — 思考→工具调用→观察结果→继续或结束</w:t>
      </w:r>
    </w:p>
    <w:p>
      <w:r>
        <w:t>4. 输出结果 — 显示最终答案、耗时和 Token 用量</w:t>
      </w:r>
    </w:p>
    <w:p>
      <w:r>
        <w:t>5. Skill 生成 — 多步骤任务（&gt;=3步）自动提取为 Skill</w:t>
      </w:r>
    </w:p>
    <w:p>
      <w:pPr>
        <w:pStyle w:val="Heading1"/>
      </w:pPr>
      <w:r>
        <w:t>6. 模型接入指南</w:t>
      </w:r>
    </w:p>
    <w:p>
      <w:r>
        <w:t>Tommy-Cat 采用通用 Provider 架构，任何兼容 OpenAI Chat Completions API 的服务均可通过配置接入，无需修改代码。</w:t>
      </w:r>
    </w:p>
    <w:p>
      <w:pPr>
        <w:pStyle w:val="Heading2"/>
      </w:pPr>
      <w:r>
        <w:t>6.1 接入新模型</w:t>
      </w:r>
    </w:p>
    <w:p>
      <w:r>
        <w:t>在 config.yaml 的 llm.providers 下添加新条目即可：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llm:</w:t>
        <w:br/>
        <w:t xml:space="preserve">  providers:</w:t>
        <w:br/>
        <w:t xml:space="preserve">    # 接入 OpenAI</w:t>
        <w:br/>
        <w:t xml:space="preserve">    openai:</w:t>
        <w:br/>
        <w:t xml:space="preserve">      base_url: "https://api.openai.com/v1/chat/completions"</w:t>
        <w:br/>
        <w:t xml:space="preserve">      api_key: "${OPENAI_API_KEY}"</w:t>
        <w:br/>
        <w:t xml:space="preserve">      model: "gpt-4o"</w:t>
        <w:br/>
        <w:t xml:space="preserve">      max_tokens: 128000</w:t>
        <w:br/>
        <w:br/>
        <w:t xml:space="preserve">    # 接入本地 Ollama</w:t>
        <w:br/>
        <w:t xml:space="preserve">    ollama:</w:t>
        <w:br/>
        <w:t xml:space="preserve">      base_url: "http://localhost:11434/v1/chat/completions"</w:t>
        <w:br/>
        <w:t xml:space="preserve">      api_key: "ollama"</w:t>
        <w:br/>
        <w:t xml:space="preserve">      model: "qwen2.5:72b"</w:t>
        <w:br/>
        <w:t xml:space="preserve">      max_tokens: 8192</w:t>
        <w:br/>
        <w:t xml:space="preserve">      timeout: "300s"</w:t>
        <w:br/>
        <w:br/>
        <w:t xml:space="preserve">    # 接入 vLLM 自部署服务</w:t>
        <w:br/>
        <w:t xml:space="preserve">    vllm:</w:t>
        <w:br/>
        <w:t xml:space="preserve">      base_url: "http://localhost:8000/v1/chat/completions"</w:t>
        <w:br/>
        <w:t xml:space="preserve">      api_key: ""</w:t>
        <w:br/>
        <w:t xml:space="preserve">      model: "Qwen/Qwen2.5-72B-Instruct"</w:t>
        <w:br/>
        <w:t xml:space="preserve">      max_tokens: 32768</w:t>
        <w:br/>
        <w:br/>
        <w:t xml:space="preserve">    # 接入 LM Studio</w:t>
        <w:br/>
        <w:t xml:space="preserve">    lm-studio:</w:t>
        <w:br/>
        <w:t xml:space="preserve">      base_url: "http://localhost:1234/v1/chat/completions"</w:t>
        <w:br/>
        <w:t xml:space="preserve">      api_key: "lm-studio"</w:t>
        <w:br/>
        <w:t xml:space="preserve">      model: "local-model"</w:t>
        <w:br/>
        <w:t xml:space="preserve">      max_tokens: 8192</w:t>
      </w:r>
    </w:p>
    <w:p>
      <w:pPr>
        <w:pStyle w:val="Heading2"/>
      </w:pPr>
      <w:r>
        <w:t>6.2 切换默认模型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llm:</w:t>
        <w:br/>
        <w:t xml:space="preserve">  default_provider: "ollama"    # 改为你想用的供应商名称</w:t>
        <w:br/>
        <w:t xml:space="preserve">  fallback_provider: "deepseek" # 失败时的备选</w:t>
      </w:r>
    </w:p>
    <w:p>
      <w:pPr>
        <w:pStyle w:val="Heading2"/>
      </w:pPr>
      <w:r>
        <w:t>6.3 故障转移机制</w:t>
      </w:r>
    </w:p>
    <w:p>
      <w:r>
        <w:t>网关内置重试和降级逻辑：主供应商失败时自动重试 3 次（指数退避 500ms/1s/2s），仍失败则自动切换到 fallback_provider。全部失败时报错。</w:t>
      </w:r>
    </w:p>
    <w:p>
      <w:pPr>
        <w:pStyle w:val="Heading2"/>
      </w:pPr>
      <w:r>
        <w:t>6.4 自定义请求头</w:t>
      </w:r>
    </w:p>
    <w:p>
      <w:r>
        <w:t>某些服务需要额外的请求头，可通过 headers 字段配置：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 xml:space="preserve">    my-custom:</w:t>
        <w:br/>
        <w:t xml:space="preserve">      base_url: "https://my-api.example.com/v1/chat/completions"</w:t>
        <w:br/>
        <w:t xml:space="preserve">      api_key: "${MY_CUSTOM_KEY}"</w:t>
        <w:br/>
        <w:t xml:space="preserve">      model: "my-model-v1"</w:t>
        <w:br/>
        <w:t xml:space="preserve">      headers:</w:t>
        <w:br/>
        <w:t xml:space="preserve">        X-Custom-Header: "value"</w:t>
        <w:br/>
        <w:t xml:space="preserve">        X-Org-Id: "org-123"</w:t>
      </w:r>
    </w:p>
    <w:p>
      <w:pPr>
        <w:pStyle w:val="Heading1"/>
      </w:pPr>
      <w:r>
        <w:t>7. 安全策略配置</w:t>
      </w:r>
    </w:p>
    <w:p>
      <w:r>
        <w:t>安全策略采用 Policy-as-Code 模式，通过声明式 YAML 定义。策略文件默认位于 config/policy.yaml，按 priority 从小到大顺序评估。</w:t>
      </w:r>
    </w:p>
    <w:p>
      <w:pPr>
        <w:pStyle w:val="Heading2"/>
      </w:pPr>
      <w:r>
        <w:t>7.1 策略结构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policies:</w:t>
        <w:br/>
        <w:t xml:space="preserve">  - id: block-destructive          # 唯一标识</w:t>
        <w:br/>
        <w:t xml:space="preserve">    name: "阻止破坏性操作"     # 显示名称</w:t>
        <w:br/>
        <w:t xml:space="preserve">    description: "..."             # 描述</w:t>
        <w:br/>
        <w:t xml:space="preserve">    priority: 1                    # 优先级（越小越先）</w:t>
        <w:br/>
        <w:t xml:space="preserve">    enabled: true                  # 是否启用</w:t>
        <w:br/>
        <w:t xml:space="preserve">    when:                          # 触发条件</w:t>
        <w:br/>
        <w:t xml:space="preserve">      tool_names: [shell_exec]     #   匹配工具名</w:t>
        <w:br/>
        <w:t xml:space="preserve">      pattern: "(?i)rm\\s+-rf"     #   正则匹配</w:t>
        <w:br/>
        <w:t xml:space="preserve">    then:                          # 执行动作</w:t>
        <w:br/>
        <w:t xml:space="preserve">      effect: deny                 #   效果</w:t>
        <w:br/>
        <w:t xml:space="preserve">      message: "已拦截"           #   提示消息</w:t>
      </w:r>
    </w:p>
    <w:p>
      <w:pPr>
        <w:pStyle w:val="Heading2"/>
      </w:pPr>
      <w:r>
        <w:t>7.2 支持的效果类型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用户体验</w:t>
            </w:r>
          </w:p>
        </w:tc>
      </w:tr>
      <w:tr>
        <w:tc>
          <w:tcPr>
            <w:tcW w:type="dxa" w:w="2882"/>
          </w:tcPr>
          <w:p>
            <w:r>
              <w:t>deny</w:t>
            </w:r>
          </w:p>
        </w:tc>
        <w:tc>
          <w:tcPr>
            <w:tcW w:type="dxa" w:w="2882"/>
          </w:tcPr>
          <w:p>
            <w:r>
              <w:t>直接拦截，禁止执行</w:t>
            </w:r>
          </w:p>
        </w:tc>
        <w:tc>
          <w:tcPr>
            <w:tcW w:type="dxa" w:w="2882"/>
          </w:tcPr>
          <w:p>
            <w:r>
              <w:t>显示拦截消息，任务不执行</w:t>
            </w:r>
          </w:p>
        </w:tc>
      </w:tr>
      <w:tr>
        <w:tc>
          <w:tcPr>
            <w:tcW w:type="dxa" w:w="2882"/>
          </w:tcPr>
          <w:p>
            <w:r>
              <w:t>require_approval</w:t>
            </w:r>
          </w:p>
        </w:tc>
        <w:tc>
          <w:tcPr>
            <w:tcW w:type="dxa" w:w="2882"/>
          </w:tcPr>
          <w:p>
            <w:r>
              <w:t>需要用户确认后继续</w:t>
            </w:r>
          </w:p>
        </w:tc>
        <w:tc>
          <w:tcPr>
            <w:tcW w:type="dxa" w:w="2882"/>
          </w:tcPr>
          <w:p>
            <w:r>
              <w:t>显示确认提示，输入 y 继续</w:t>
            </w:r>
          </w:p>
        </w:tc>
      </w:tr>
      <w:tr>
        <w:tc>
          <w:tcPr>
            <w:tcW w:type="dxa" w:w="2882"/>
          </w:tcPr>
          <w:p>
            <w:r>
              <w:t>redact</w:t>
            </w:r>
          </w:p>
        </w:tc>
        <w:tc>
          <w:tcPr>
            <w:tcW w:type="dxa" w:w="2882"/>
          </w:tcPr>
          <w:p>
            <w:r>
              <w:t>自动脱敏输出内容</w:t>
            </w:r>
          </w:p>
        </w:tc>
        <w:tc>
          <w:tcPr>
            <w:tcW w:type="dxa" w:w="2882"/>
          </w:tcPr>
          <w:p>
            <w:r>
              <w:t>敏感信息被替换为 ***</w:t>
            </w:r>
          </w:p>
        </w:tc>
      </w:tr>
      <w:tr>
        <w:tc>
          <w:tcPr>
            <w:tcW w:type="dxa" w:w="2882"/>
          </w:tcPr>
          <w:p>
            <w:r>
              <w:t>throttle</w:t>
            </w:r>
          </w:p>
        </w:tc>
        <w:tc>
          <w:tcPr>
            <w:tcW w:type="dxa" w:w="2882"/>
          </w:tcPr>
          <w:p>
            <w:r>
              <w:t>限流保护</w:t>
            </w:r>
          </w:p>
        </w:tc>
        <w:tc>
          <w:tcPr>
            <w:tcW w:type="dxa" w:w="2882"/>
          </w:tcPr>
          <w:p>
            <w:r>
              <w:t>显示限流提示</w:t>
            </w:r>
          </w:p>
        </w:tc>
      </w:tr>
      <w:tr>
        <w:tc>
          <w:tcPr>
            <w:tcW w:type="dxa" w:w="2882"/>
          </w:tcPr>
          <w:p>
            <w:r>
              <w:t>allow</w:t>
            </w:r>
          </w:p>
        </w:tc>
        <w:tc>
          <w:tcPr>
            <w:tcW w:type="dxa" w:w="2882"/>
          </w:tcPr>
          <w:p>
            <w:r>
              <w:t>明确允许（跳过后续策略）</w:t>
            </w:r>
          </w:p>
        </w:tc>
        <w:tc>
          <w:tcPr>
            <w:tcW w:type="dxa" w:w="2882"/>
          </w:tcPr>
          <w:p>
            <w:r>
              <w:t>无感知</w:t>
            </w:r>
          </w:p>
        </w:tc>
      </w:tr>
    </w:tbl>
    <w:p/>
    <w:p>
      <w:pPr>
        <w:pStyle w:val="Heading2"/>
      </w:pPr>
      <w:r>
        <w:t>7.3 触发条件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条件字段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t>tool_names</w:t>
            </w:r>
          </w:p>
        </w:tc>
        <w:tc>
          <w:tcPr>
            <w:tcW w:type="dxa" w:w="4323"/>
          </w:tcPr>
          <w:p>
            <w:r>
              <w:t>匹配指定工具名称列表</w:t>
            </w:r>
          </w:p>
        </w:tc>
      </w:tr>
      <w:tr>
        <w:tc>
          <w:tcPr>
            <w:tcW w:type="dxa" w:w="4323"/>
          </w:tcPr>
          <w:p>
            <w:r>
              <w:t>action_type</w:t>
            </w:r>
          </w:p>
        </w:tc>
        <w:tc>
          <w:tcPr>
            <w:tcW w:type="dxa" w:w="4323"/>
          </w:tcPr>
          <w:p>
            <w:r>
              <w:t>匹配动作类型 (tool_call / llm_output / task_start / task_end)</w:t>
            </w:r>
          </w:p>
        </w:tc>
      </w:tr>
      <w:tr>
        <w:tc>
          <w:tcPr>
            <w:tcW w:type="dxa" w:w="4323"/>
          </w:tcPr>
          <w:p>
            <w:r>
              <w:t>pattern</w:t>
            </w:r>
          </w:p>
        </w:tc>
        <w:tc>
          <w:tcPr>
            <w:tcW w:type="dxa" w:w="4323"/>
          </w:tcPr>
          <w:p>
            <w:r>
              <w:t>正则表达式匹配内容</w:t>
            </w:r>
          </w:p>
        </w:tc>
      </w:tr>
      <w:tr>
        <w:tc>
          <w:tcPr>
            <w:tcW w:type="dxa" w:w="4323"/>
          </w:tcPr>
          <w:p>
            <w:r>
              <w:t>tool_risk</w:t>
            </w:r>
          </w:p>
        </w:tc>
        <w:tc>
          <w:tcPr>
            <w:tcW w:type="dxa" w:w="4323"/>
          </w:tcPr>
          <w:p>
            <w:r>
              <w:t>匹配工具风险等级 (0-3)</w:t>
            </w:r>
          </w:p>
        </w:tc>
      </w:tr>
      <w:tr>
        <w:tc>
          <w:tcPr>
            <w:tcW w:type="dxa" w:w="4323"/>
          </w:tcPr>
          <w:p>
            <w:r>
              <w:t>max_cost</w:t>
            </w:r>
          </w:p>
        </w:tc>
        <w:tc>
          <w:tcPr>
            <w:tcW w:type="dxa" w:w="4323"/>
          </w:tcPr>
          <w:p>
            <w:r>
              <w:t>费用超过阈值时触发</w:t>
            </w:r>
          </w:p>
        </w:tc>
      </w:tr>
      <w:tr>
        <w:tc>
          <w:tcPr>
            <w:tcW w:type="dxa" w:w="4323"/>
          </w:tcPr>
          <w:p>
            <w:r>
              <w:t>time_range</w:t>
            </w:r>
          </w:p>
        </w:tc>
        <w:tc>
          <w:tcPr>
            <w:tcW w:type="dxa" w:w="4323"/>
          </w:tcPr>
          <w:p>
            <w:r>
              <w:t>时间范围限制 (HH:MM-HH:MM)</w:t>
            </w:r>
          </w:p>
        </w:tc>
      </w:tr>
    </w:tbl>
    <w:p/>
    <w:p>
      <w:pPr>
        <w:pStyle w:val="Heading2"/>
      </w:pPr>
      <w:r>
        <w:t>7.4 内置策略</w:t>
      </w:r>
    </w:p>
    <w:p>
      <w:r>
        <w:t>系统默认加载以下策略（可在 policy.yaml 中禁用或修改）：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策略 ID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默认状态</w:t>
            </w:r>
          </w:p>
        </w:tc>
      </w:tr>
      <w:tr>
        <w:tc>
          <w:tcPr>
            <w:tcW w:type="dxa" w:w="2161"/>
          </w:tcPr>
          <w:p>
            <w:r>
              <w:t>block-destructive</w:t>
            </w:r>
          </w:p>
        </w:tc>
        <w:tc>
          <w:tcPr>
            <w:tcW w:type="dxa" w:w="2161"/>
          </w:tcPr>
          <w:p>
            <w:r>
              <w:t>阻止破坏性操作</w:t>
            </w:r>
          </w:p>
        </w:tc>
        <w:tc>
          <w:tcPr>
            <w:tcW w:type="dxa" w:w="2161"/>
          </w:tcPr>
          <w:p>
            <w:r>
              <w:t>deny</w:t>
            </w:r>
          </w:p>
        </w:tc>
        <w:tc>
          <w:tcPr>
            <w:tcW w:type="dxa" w:w="2161"/>
          </w:tcPr>
          <w:p>
            <w:r>
              <w:t>启用</w:t>
            </w:r>
          </w:p>
        </w:tc>
      </w:tr>
      <w:tr>
        <w:tc>
          <w:tcPr>
            <w:tcW w:type="dxa" w:w="2161"/>
          </w:tcPr>
          <w:p>
            <w:r>
              <w:t>protect-secrets</w:t>
            </w:r>
          </w:p>
        </w:tc>
        <w:tc>
          <w:tcPr>
            <w:tcW w:type="dxa" w:w="2161"/>
          </w:tcPr>
          <w:p>
            <w:r>
              <w:t>敏感信息脱敏</w:t>
            </w:r>
          </w:p>
        </w:tc>
        <w:tc>
          <w:tcPr>
            <w:tcW w:type="dxa" w:w="2161"/>
          </w:tcPr>
          <w:p>
            <w:r>
              <w:t>redact</w:t>
            </w:r>
          </w:p>
        </w:tc>
        <w:tc>
          <w:tcPr>
            <w:tcW w:type="dxa" w:w="2161"/>
          </w:tcPr>
          <w:p>
            <w:r>
              <w:t>启用</w:t>
            </w:r>
          </w:p>
        </w:tc>
      </w:tr>
      <w:tr>
        <w:tc>
          <w:tcPr>
            <w:tcW w:type="dxa" w:w="2161"/>
          </w:tcPr>
          <w:p>
            <w:r>
              <w:t>cost-guard</w:t>
            </w:r>
          </w:p>
        </w:tc>
        <w:tc>
          <w:tcPr>
            <w:tcW w:type="dxa" w:w="2161"/>
          </w:tcPr>
          <w:p>
            <w:r>
              <w:t>费用上限保护</w:t>
            </w:r>
          </w:p>
        </w:tc>
        <w:tc>
          <w:tcPr>
            <w:tcW w:type="dxa" w:w="2161"/>
          </w:tcPr>
          <w:p>
            <w:r>
              <w:t>require_approval</w:t>
            </w:r>
          </w:p>
        </w:tc>
        <w:tc>
          <w:tcPr>
            <w:tcW w:type="dxa" w:w="2161"/>
          </w:tcPr>
          <w:p>
            <w:r>
              <w:t>启用</w:t>
            </w:r>
          </w:p>
        </w:tc>
      </w:tr>
      <w:tr>
        <w:tc>
          <w:tcPr>
            <w:tcW w:type="dxa" w:w="2161"/>
          </w:tcPr>
          <w:p>
            <w:r>
              <w:t>office-hours</w:t>
            </w:r>
          </w:p>
        </w:tc>
        <w:tc>
          <w:tcPr>
            <w:tcW w:type="dxa" w:w="2161"/>
          </w:tcPr>
          <w:p>
            <w:r>
              <w:t>工作时间限制</w:t>
            </w:r>
          </w:p>
        </w:tc>
        <w:tc>
          <w:tcPr>
            <w:tcW w:type="dxa" w:w="2161"/>
          </w:tcPr>
          <w:p>
            <w:r>
              <w:t>deny</w:t>
            </w:r>
          </w:p>
        </w:tc>
        <w:tc>
          <w:tcPr>
            <w:tcW w:type="dxa" w:w="2161"/>
          </w:tcPr>
          <w:p>
            <w:r>
              <w:t>禁用</w:t>
            </w:r>
          </w:p>
        </w:tc>
      </w:tr>
      <w:tr>
        <w:tc>
          <w:tcPr>
            <w:tcW w:type="dxa" w:w="2161"/>
          </w:tcPr>
          <w:p>
            <w:r>
              <w:t>rate-limiter</w:t>
            </w:r>
          </w:p>
        </w:tc>
        <w:tc>
          <w:tcPr>
            <w:tcW w:type="dxa" w:w="2161"/>
          </w:tcPr>
          <w:p>
            <w:r>
              <w:t>调用频率限制</w:t>
            </w:r>
          </w:p>
        </w:tc>
        <w:tc>
          <w:tcPr>
            <w:tcW w:type="dxa" w:w="2161"/>
          </w:tcPr>
          <w:p>
            <w:r>
              <w:t>throttle</w:t>
            </w:r>
          </w:p>
        </w:tc>
        <w:tc>
          <w:tcPr>
            <w:tcW w:type="dxa" w:w="2161"/>
          </w:tcPr>
          <w:p>
            <w:r>
              <w:t>启用</w:t>
            </w:r>
          </w:p>
        </w:tc>
      </w:tr>
      <w:tr>
        <w:tc>
          <w:tcPr>
            <w:tcW w:type="dxa" w:w="2161"/>
          </w:tcPr>
          <w:p>
            <w:r>
              <w:t>scope-fence</w:t>
            </w:r>
          </w:p>
        </w:tc>
        <w:tc>
          <w:tcPr>
            <w:tcW w:type="dxa" w:w="2161"/>
          </w:tcPr>
          <w:p>
            <w:r>
              <w:t>文件访问范围限制</w:t>
            </w:r>
          </w:p>
        </w:tc>
        <w:tc>
          <w:tcPr>
            <w:tcW w:type="dxa" w:w="2161"/>
          </w:tcPr>
          <w:p>
            <w:r>
              <w:t>deny</w:t>
            </w:r>
          </w:p>
        </w:tc>
        <w:tc>
          <w:tcPr>
            <w:tcW w:type="dxa" w:w="2161"/>
          </w:tcPr>
          <w:p>
            <w:r>
              <w:t>启用</w:t>
            </w:r>
          </w:p>
        </w:tc>
      </w:tr>
      <w:tr>
        <w:tc>
          <w:tcPr>
            <w:tcW w:type="dxa" w:w="2161"/>
          </w:tcPr>
          <w:p>
            <w:r>
              <w:t>output-review</w:t>
            </w:r>
          </w:p>
        </w:tc>
        <w:tc>
          <w:tcPr>
            <w:tcW w:type="dxa" w:w="2161"/>
          </w:tcPr>
          <w:p>
            <w:r>
              <w:t>大量输出审查</w:t>
            </w:r>
          </w:p>
        </w:tc>
        <w:tc>
          <w:tcPr>
            <w:tcW w:type="dxa" w:w="2161"/>
          </w:tcPr>
          <w:p>
            <w:r>
              <w:t>require_approval</w:t>
            </w:r>
          </w:p>
        </w:tc>
        <w:tc>
          <w:tcPr>
            <w:tcW w:type="dxa" w:w="2161"/>
          </w:tcPr>
          <w:p>
            <w:r>
              <w:t>禁用</w:t>
            </w:r>
          </w:p>
        </w:tc>
      </w:tr>
    </w:tbl>
    <w:p/>
    <w:p>
      <w:pPr>
        <w:pStyle w:val="Heading1"/>
      </w:pPr>
      <w:r>
        <w:t>8. Skill 系统</w:t>
      </w:r>
    </w:p>
    <w:p>
      <w:r>
        <w:t>Skill 系统能够从成功的多步骤执行中自动提取可复用的技能，并在后续相似任务中自动匹配应用。</w:t>
      </w:r>
    </w:p>
    <w:p>
      <w:pPr>
        <w:pStyle w:val="Heading2"/>
      </w:pPr>
      <w:r>
        <w:t>8.1 自动生成</w:t>
      </w:r>
    </w:p>
    <w:p>
      <w:r>
        <w:t>当任务执行步骤 &gt;= 3 步时，Agent 会自动尝试从执行轨迹中提取 Skill。生成成功时会显示提示。Skill 存储在 data/skills.json 中，重启后仍然有效。</w:t>
      </w:r>
    </w:p>
    <w:p>
      <w:pPr>
        <w:pStyle w:val="Heading2"/>
      </w:pPr>
      <w:r>
        <w:t>8.2 自动匹配</w:t>
      </w:r>
    </w:p>
    <w:p>
      <w:r>
        <w:t>执行新任务时，系统通过关键词 + 语义相似度匹配已有 Skill。置信度超过 60% 时自动启用，并显示匹配信息。</w:t>
      </w:r>
    </w:p>
    <w:p>
      <w:pPr>
        <w:pStyle w:val="Heading2"/>
      </w:pPr>
      <w:r>
        <w:t>8.3 管理 Skill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&gt; /skills</w:t>
        <w:br/>
        <w:t xml:space="preserve">  [a1b2c3d4] 网页搜索总结 (v1.0, 使用5次, 成功率80%)</w:t>
        <w:br/>
        <w:t xml:space="preserve">  [e5f6g7h8] 代码审查报告 (v1.1, 使用3次, 成功率100%)</w:t>
        <w:br/>
        <w:br/>
        <w:t>&gt; /skill a1b2c3d4</w:t>
        <w:br/>
        <w:t xml:space="preserve">  查看详细执行步骤...</w:t>
      </w:r>
    </w:p>
    <w:p>
      <w:pPr>
        <w:pStyle w:val="Heading1"/>
      </w:pPr>
      <w:r>
        <w:t>9. 健康自检 (Doctor)</w:t>
      </w:r>
    </w:p>
    <w:p>
      <w:r>
        <w:t>Doctor 系统用于自动检测 Agent 运行环境中的常见问题，并尽可能自动修复。</w:t>
      </w:r>
    </w:p>
    <w:p>
      <w:pPr>
        <w:pStyle w:val="Heading2"/>
      </w:pPr>
      <w:r>
        <w:t>9.1 使用方式</w:t>
      </w:r>
    </w:p>
    <w:p>
      <w:r>
        <w:t>启动时自动执行快速自检（仅检查 Critical 级别）。运行 /doctor 命令执行完整检查：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&gt; /doctor</w:t>
        <w:br/>
        <w:t xml:space="preserve">  Tommy-Cat Agent 健康检查</w:t>
        <w:br/>
        <w:t xml:space="preserve">  ==============================</w:t>
        <w:br/>
        <w:t xml:space="preserve">  [PASS] 配置文件检查        通过</w:t>
        <w:br/>
        <w:t xml:space="preserve">  [PASS] LLM 供应商连接     通过 (2/2)</w:t>
        <w:br/>
        <w:t xml:space="preserve">  [PASS] 安全策略加载       通过 (7条策略)</w:t>
        <w:br/>
        <w:t xml:space="preserve">  [PASS] 工具注册表         通过 (6个工具)</w:t>
        <w:br/>
        <w:t xml:space="preserve">  [PASS] Skill 存储           通过</w:t>
        <w:br/>
        <w:t xml:space="preserve">  [PASS] 工作目录           通过</w:t>
        <w:br/>
        <w:t xml:space="preserve">  [PASS] 网络连通性         通过</w:t>
        <w:br/>
        <w:t xml:space="preserve">  [PASS] 系统资源           通过</w:t>
        <w:br/>
        <w:t xml:space="preserve">  ==============================</w:t>
        <w:br/>
        <w:t xml:space="preserve">  检查完成: 8通过 / 0警告 / 0错误</w:t>
      </w:r>
    </w:p>
    <w:p>
      <w:pPr>
        <w:pStyle w:val="Heading2"/>
      </w:pPr>
      <w:r>
        <w:t>9.2 检查项目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自动修复</w:t>
            </w:r>
          </w:p>
        </w:tc>
      </w:tr>
      <w:tr>
        <w:tc>
          <w:tcPr>
            <w:tcW w:type="dxa" w:w="2882"/>
          </w:tcPr>
          <w:p>
            <w:r>
              <w:t>配置文件</w:t>
            </w:r>
          </w:p>
        </w:tc>
        <w:tc>
          <w:tcPr>
            <w:tcW w:type="dxa" w:w="2882"/>
          </w:tcPr>
          <w:p>
            <w:r>
              <w:t>文件存在性、格式正确性、必填项</w:t>
            </w:r>
          </w:p>
        </w:tc>
        <w:tc>
          <w:tcPr>
            <w:tcW w:type="dxa" w:w="2882"/>
          </w:tcPr>
          <w:p>
            <w:r>
              <w:t>生成默认配置</w:t>
            </w:r>
          </w:p>
        </w:tc>
      </w:tr>
      <w:tr>
        <w:tc>
          <w:tcPr>
            <w:tcW w:type="dxa" w:w="2882"/>
          </w:tcPr>
          <w:p>
            <w:r>
              <w:t>LLM 供应商</w:t>
            </w:r>
          </w:p>
        </w:tc>
        <w:tc>
          <w:tcPr>
            <w:tcW w:type="dxa" w:w="2882"/>
          </w:tcPr>
          <w:p>
            <w:r>
              <w:t>API 连通性、密钥有效性</w:t>
            </w:r>
          </w:p>
        </w:tc>
        <w:tc>
          <w:tcPr>
            <w:tcW w:type="dxa" w:w="2882"/>
          </w:tcPr>
          <w:p>
            <w:r>
              <w:t>—</w:t>
            </w:r>
          </w:p>
        </w:tc>
      </w:tr>
      <w:tr>
        <w:tc>
          <w:tcPr>
            <w:tcW w:type="dxa" w:w="2882"/>
          </w:tcPr>
          <w:p>
            <w:r>
              <w:t>安全策略</w:t>
            </w:r>
          </w:p>
        </w:tc>
        <w:tc>
          <w:tcPr>
            <w:tcW w:type="dxa" w:w="2882"/>
          </w:tcPr>
          <w:p>
            <w:r>
              <w:t>策略文件解析、必要策略存在</w:t>
            </w:r>
          </w:p>
        </w:tc>
        <w:tc>
          <w:tcPr>
            <w:tcW w:type="dxa" w:w="2882"/>
          </w:tcPr>
          <w:p>
            <w:r>
              <w:t>重新加载内置策略</w:t>
            </w:r>
          </w:p>
        </w:tc>
      </w:tr>
      <w:tr>
        <w:tc>
          <w:tcPr>
            <w:tcW w:type="dxa" w:w="2882"/>
          </w:tcPr>
          <w:p>
            <w:r>
              <w:t>工具注册表</w:t>
            </w:r>
          </w:p>
        </w:tc>
        <w:tc>
          <w:tcPr>
            <w:tcW w:type="dxa" w:w="2882"/>
          </w:tcPr>
          <w:p>
            <w:r>
              <w:t>内置工具注册完整性</w:t>
            </w:r>
          </w:p>
        </w:tc>
        <w:tc>
          <w:tcPr>
            <w:tcW w:type="dxa" w:w="2882"/>
          </w:tcPr>
          <w:p>
            <w:r>
              <w:t>重新注册</w:t>
            </w:r>
          </w:p>
        </w:tc>
      </w:tr>
      <w:tr>
        <w:tc>
          <w:tcPr>
            <w:tcW w:type="dxa" w:w="2882"/>
          </w:tcPr>
          <w:p>
            <w:r>
              <w:t>Skill 存储</w:t>
            </w:r>
          </w:p>
        </w:tc>
        <w:tc>
          <w:tcPr>
            <w:tcW w:type="dxa" w:w="2882"/>
          </w:tcPr>
          <w:p>
            <w:r>
              <w:t>存储文件可读写</w:t>
            </w:r>
          </w:p>
        </w:tc>
        <w:tc>
          <w:tcPr>
            <w:tcW w:type="dxa" w:w="2882"/>
          </w:tcPr>
          <w:p>
            <w:r>
              <w:t>创建目录和空文件</w:t>
            </w:r>
          </w:p>
        </w:tc>
      </w:tr>
      <w:tr>
        <w:tc>
          <w:tcPr>
            <w:tcW w:type="dxa" w:w="2882"/>
          </w:tcPr>
          <w:p>
            <w:r>
              <w:t>工作目录</w:t>
            </w:r>
          </w:p>
        </w:tc>
        <w:tc>
          <w:tcPr>
            <w:tcW w:type="dxa" w:w="2882"/>
          </w:tcPr>
          <w:p>
            <w:r>
              <w:t>目录存在且可写</w:t>
            </w:r>
          </w:p>
        </w:tc>
        <w:tc>
          <w:tcPr>
            <w:tcW w:type="dxa" w:w="2882"/>
          </w:tcPr>
          <w:p>
            <w:r>
              <w:t>创建目录</w:t>
            </w:r>
          </w:p>
        </w:tc>
      </w:tr>
      <w:tr>
        <w:tc>
          <w:tcPr>
            <w:tcW w:type="dxa" w:w="2882"/>
          </w:tcPr>
          <w:p>
            <w:r>
              <w:t>网络连通性</w:t>
            </w:r>
          </w:p>
        </w:tc>
        <w:tc>
          <w:tcPr>
            <w:tcW w:type="dxa" w:w="2882"/>
          </w:tcPr>
          <w:p>
            <w:r>
              <w:t>DNS 解析、API 端点可达</w:t>
            </w:r>
          </w:p>
        </w:tc>
        <w:tc>
          <w:tcPr>
            <w:tcW w:type="dxa" w:w="2882"/>
          </w:tcPr>
          <w:p>
            <w:r>
              <w:t>—</w:t>
            </w:r>
          </w:p>
        </w:tc>
      </w:tr>
      <w:tr>
        <w:tc>
          <w:tcPr>
            <w:tcW w:type="dxa" w:w="2882"/>
          </w:tcPr>
          <w:p>
            <w:r>
              <w:t>系统资源</w:t>
            </w:r>
          </w:p>
        </w:tc>
        <w:tc>
          <w:tcPr>
            <w:tcW w:type="dxa" w:w="2882"/>
          </w:tcPr>
          <w:p>
            <w:r>
              <w:t>磁盘空间、内存状态</w:t>
            </w:r>
          </w:p>
        </w:tc>
        <w:tc>
          <w:tcPr>
            <w:tcW w:type="dxa" w:w="2882"/>
          </w:tcPr>
          <w:p>
            <w:r>
              <w:t>—</w:t>
            </w:r>
          </w:p>
        </w:tc>
      </w:tr>
    </w:tbl>
    <w:p/>
    <w:p>
      <w:pPr>
        <w:pStyle w:val="Heading1"/>
      </w:pPr>
      <w:r>
        <w:t>10. 内置工具</w:t>
      </w:r>
    </w:p>
    <w:p>
      <w:r>
        <w:t>Agent 内置以下工具，由 LLM 在 ReAct 循环中自动调用：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工具名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2882"/>
          </w:tcPr>
          <w:p>
            <w:r>
              <w:t>web_search</w:t>
            </w:r>
          </w:p>
        </w:tc>
        <w:tc>
          <w:tcPr>
            <w:tcW w:type="dxa" w:w="2882"/>
          </w:tcPr>
          <w:p>
            <w:r>
              <w:t>网络搜索</w:t>
            </w:r>
          </w:p>
        </w:tc>
        <w:tc>
          <w:tcPr>
            <w:tcW w:type="dxa" w:w="2882"/>
          </w:tcPr>
          <w:p>
            <w:r>
              <w:t>L0 (只读)</w:t>
            </w:r>
          </w:p>
        </w:tc>
      </w:tr>
      <w:tr>
        <w:tc>
          <w:tcPr>
            <w:tcW w:type="dxa" w:w="2882"/>
          </w:tcPr>
          <w:p>
            <w:r>
              <w:t>web_fetch</w:t>
            </w:r>
          </w:p>
        </w:tc>
        <w:tc>
          <w:tcPr>
            <w:tcW w:type="dxa" w:w="2882"/>
          </w:tcPr>
          <w:p>
            <w:r>
              <w:t>获取网页内容</w:t>
            </w:r>
          </w:p>
        </w:tc>
        <w:tc>
          <w:tcPr>
            <w:tcW w:type="dxa" w:w="2882"/>
          </w:tcPr>
          <w:p>
            <w:r>
              <w:t>L0 (只读)</w:t>
            </w:r>
          </w:p>
        </w:tc>
      </w:tr>
      <w:tr>
        <w:tc>
          <w:tcPr>
            <w:tcW w:type="dxa" w:w="2882"/>
          </w:tcPr>
          <w:p>
            <w:r>
              <w:t>file_read</w:t>
            </w:r>
          </w:p>
        </w:tc>
        <w:tc>
          <w:tcPr>
            <w:tcW w:type="dxa" w:w="2882"/>
          </w:tcPr>
          <w:p>
            <w:r>
              <w:t>读取文件</w:t>
            </w:r>
          </w:p>
        </w:tc>
        <w:tc>
          <w:tcPr>
            <w:tcW w:type="dxa" w:w="2882"/>
          </w:tcPr>
          <w:p>
            <w:r>
              <w:t>L0 (只读)</w:t>
            </w:r>
          </w:p>
        </w:tc>
      </w:tr>
      <w:tr>
        <w:tc>
          <w:tcPr>
            <w:tcW w:type="dxa" w:w="2882"/>
          </w:tcPr>
          <w:p>
            <w:r>
              <w:t>file_write</w:t>
            </w:r>
          </w:p>
        </w:tc>
        <w:tc>
          <w:tcPr>
            <w:tcW w:type="dxa" w:w="2882"/>
          </w:tcPr>
          <w:p>
            <w:r>
              <w:t>写入文件</w:t>
            </w:r>
          </w:p>
        </w:tc>
        <w:tc>
          <w:tcPr>
            <w:tcW w:type="dxa" w:w="2882"/>
          </w:tcPr>
          <w:p>
            <w:r>
              <w:t>L2 (写入)</w:t>
            </w:r>
          </w:p>
        </w:tc>
      </w:tr>
      <w:tr>
        <w:tc>
          <w:tcPr>
            <w:tcW w:type="dxa" w:w="2882"/>
          </w:tcPr>
          <w:p>
            <w:r>
              <w:t>code_run</w:t>
            </w:r>
          </w:p>
        </w:tc>
        <w:tc>
          <w:tcPr>
            <w:tcW w:type="dxa" w:w="2882"/>
          </w:tcPr>
          <w:p>
            <w:r>
              <w:t>执行代码片段</w:t>
            </w:r>
          </w:p>
        </w:tc>
        <w:tc>
          <w:tcPr>
            <w:tcW w:type="dxa" w:w="2882"/>
          </w:tcPr>
          <w:p>
            <w:r>
              <w:t>L3 (高危)</w:t>
            </w:r>
          </w:p>
        </w:tc>
      </w:tr>
      <w:tr>
        <w:tc>
          <w:tcPr>
            <w:tcW w:type="dxa" w:w="2882"/>
          </w:tcPr>
          <w:p>
            <w:r>
              <w:t>shell_exec</w:t>
            </w:r>
          </w:p>
        </w:tc>
        <w:tc>
          <w:tcPr>
            <w:tcW w:type="dxa" w:w="2882"/>
          </w:tcPr>
          <w:p>
            <w:r>
              <w:t>执行 Shell 命令</w:t>
            </w:r>
          </w:p>
        </w:tc>
        <w:tc>
          <w:tcPr>
            <w:tcW w:type="dxa" w:w="2882"/>
          </w:tcPr>
          <w:p>
            <w:r>
              <w:t>L3 (高危)</w:t>
            </w:r>
          </w:p>
        </w:tc>
      </w:tr>
    </w:tbl>
    <w:p/>
    <w:p>
      <w:r>
        <w:t>风险等级说明：L0=只读无副作用，L1=低风险写入，L2=文件写入，L3=可执行任意代码。高风险工具受安全策略约束。</w:t>
      </w:r>
    </w:p>
    <w:p>
      <w:pPr>
        <w:pStyle w:val="Heading1"/>
      </w:pPr>
      <w:r>
        <w:t>11. 故障排除与 FAQ</w:t>
      </w:r>
    </w:p>
    <w:p>
      <w:r>
        <w:rPr>
          <w:b/>
        </w:rPr>
        <w:t>Q: 启动时提示“配置文件加载失败”，怎么办？</w:t>
      </w:r>
    </w:p>
    <w:p>
      <w:r>
        <w:t>A: 确认 config/config.yaml 存在且格式正确。可运行 /doctor 检查，它会自动生成默认配置。也可以通过命令行参数指定配置文件路径：./bin/tommy-agent /path/to/config.yaml</w:t>
      </w:r>
    </w:p>
    <w:p/>
    <w:p>
      <w:r>
        <w:rPr>
          <w:b/>
        </w:rPr>
        <w:t>Q: 提示“未配置任何 LLM 供应商”？</w:t>
      </w:r>
    </w:p>
    <w:p>
      <w:r>
        <w:t>A: 检查 config.yaml 中 llm.providers 是否至少配置了一个供应商，并确保对应的环境变量（如 DEEPSEEK_API_KEY）已设置。</w:t>
      </w:r>
    </w:p>
    <w:p/>
    <w:p>
      <w:r>
        <w:rPr>
          <w:b/>
        </w:rPr>
        <w:t>Q: 模型调用失败，报“all providers failed”？</w:t>
      </w:r>
    </w:p>
    <w:p>
      <w:r>
        <w:t>A: 可能原因：1) API Key 无效或过期；2) 网络不通（国内访问海外 API 需代理）；3) 模型名称错误。运行 /doctor 可快速定位问题。</w:t>
      </w:r>
    </w:p>
    <w:p/>
    <w:p>
      <w:r>
        <w:rPr>
          <w:b/>
        </w:rPr>
        <w:t>Q: 如何接入本地模型（Ollama / vLLM / LM Studio）？</w:t>
      </w:r>
    </w:p>
    <w:p>
      <w:r>
        <w:t>A: 在 providers 中配置本地服务地址即可，参见第 6 章示例。本地模型建议将 timeout 设置为 300s 以上。</w:t>
      </w:r>
    </w:p>
    <w:p/>
    <w:p>
      <w:r>
        <w:rPr>
          <w:b/>
        </w:rPr>
        <w:t>Q: 安全策略拦截了我需要的操作，怎么办？</w:t>
      </w:r>
    </w:p>
    <w:p>
      <w:r>
        <w:t>A: 编辑 config/policy.yaml，找到对应策略将 enabled 设为 false，或修改 when 条件中的正则表达式。修改后重启 Agent 生效。</w:t>
      </w:r>
    </w:p>
    <w:p/>
    <w:p>
      <w:r>
        <w:rPr>
          <w:b/>
        </w:rPr>
        <w:t>Q: 如何调整 ReAct 循环次数？</w:t>
      </w:r>
    </w:p>
    <w:p>
      <w:r>
        <w:t>A: 修改 config.yaml 中 engine.max_iterations（默认 20），或设置环境变量 AGENT_MAX_ITERATIONS。复杂任务可适当增大。</w:t>
      </w:r>
    </w:p>
    <w:p/>
    <w:p>
      <w:r>
        <w:rPr>
          <w:b/>
        </w:rPr>
        <w:t>Q: Go 依赖下载失败？</w:t>
      </w:r>
    </w:p>
    <w:p>
      <w:r>
        <w:t>A: 国内网络请设置代理：export GOPROXY=https://goproxy.cn,direct，然后重新执行 go mod tidy。</w:t>
      </w:r>
    </w:p>
    <w:p/>
    <w:p>
      <w:pPr>
        <w:pStyle w:val="Heading1"/>
      </w:pPr>
      <w:r>
        <w:t>附录: 项目目录结构</w:t>
      </w:r>
    </w:p>
    <w:p>
      <w:pPr>
        <w:spacing w:before="120" w:after="120"/>
        <w:ind w:left="283"/>
      </w:pPr>
      <w:r>
        <w:rPr>
          <w:rFonts w:ascii="Courier New" w:hAnsi="Courier New"/>
          <w:sz w:val="19"/>
        </w:rPr>
        <w:t>tommy-cat/</w:t>
        <w:br/>
        <w:t>|-- cmd/agent/main.go          # CLI 入口</w:t>
        <w:br/>
        <w:t>|-- config/</w:t>
        <w:br/>
        <w:t>|   |-- config.go              # 配置加载与解析</w:t>
        <w:br/>
        <w:t>|   |-- config.yaml            # 主配置文件</w:t>
        <w:br/>
        <w:t>|   +-- policy.yaml            # 安全策略配置</w:t>
        <w:br/>
        <w:t>|-- internal/</w:t>
        <w:br/>
        <w:t>|   |-- llm/                   # LLM 网关与通用 Provider</w:t>
        <w:br/>
        <w:t>|   |-- engine/                # ReAct 执行引擎</w:t>
        <w:br/>
        <w:t>|   |-- tool/                  # 工具注册表与内置工具</w:t>
        <w:br/>
        <w:t>|   |-- memory/                # 三层记忆系统</w:t>
        <w:br/>
        <w:t>|   |-- security/              # 安全策略引擎</w:t>
        <w:br/>
        <w:t>|   |-- skill/                 # Skill 自动生成与匹配</w:t>
        <w:br/>
        <w:t>|   |-- doctor/                # 健康自检系统</w:t>
        <w:br/>
        <w:t>|   +-- trace/                 # 执行追踪</w:t>
        <w:br/>
        <w:t>|-- data/                      # Skill 持久化存储</w:t>
        <w:br/>
        <w:t>|-- go.mod</w:t>
        <w:br/>
        <w:t>+-- go.sum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