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Noto Sans CJK SC" w:hAnsi="Noto Sans CJK SC" w:eastAsia="Noto Sans CJK SC" w:cs="Noto Sans CJK SC"/>
          <w:b/>
          <w:color w:val="123260"/>
          <w:sz w:val="46"/>
        </w:rPr>
        <w:t>AI / 计算机学习固定路线</w:t>
        <w:br/>
        <w:t>执行版文件</w:t>
      </w:r>
    </w:p>
    <w:p>
      <w:pPr>
        <w:spacing w:before="240"/>
        <w:jc w:val="center"/>
      </w:pPr>
      <w:r>
        <w:rPr>
          <w:rFonts w:ascii="Noto Sans CJK SC" w:hAnsi="Noto Sans CJK SC" w:eastAsia="Noto Sans CJK SC" w:cs="Noto Sans CJK SC"/>
          <w:color w:val="4E5D6E"/>
          <w:sz w:val="24"/>
        </w:rPr>
        <w:t>面向口腔医学研究、单细胞/组学应用、LLM 应用与就业兜底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c>
          <w:tcPr>
            <w:tcW w:type="dxa" w:w="2381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2A415F"/>
                <w:sz w:val="21"/>
              </w:rPr>
              <w:t>版本</w:t>
            </w:r>
          </w:p>
        </w:tc>
        <w:tc>
          <w:tcPr>
            <w:tcW w:type="dxa" w:w="55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v1.0（固定执行版）</w:t>
            </w:r>
          </w:p>
        </w:tc>
      </w:tr>
      <w:tr>
        <w:tc>
          <w:tcPr>
            <w:tcW w:type="dxa" w:w="2381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2A415F"/>
                <w:sz w:val="21"/>
              </w:rPr>
              <w:t>冻结日期</w:t>
            </w:r>
          </w:p>
        </w:tc>
        <w:tc>
          <w:tcPr>
            <w:tcW w:type="dxa" w:w="55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2026-03-26</w:t>
            </w:r>
          </w:p>
        </w:tc>
      </w:tr>
      <w:tr>
        <w:tc>
          <w:tcPr>
            <w:tcW w:type="dxa" w:w="2381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2A415F"/>
                <w:sz w:val="21"/>
              </w:rPr>
              <w:t>适用对象</w:t>
            </w:r>
          </w:p>
        </w:tc>
        <w:tc>
          <w:tcPr>
            <w:tcW w:type="dxa" w:w="55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华西口腔口腔基础医学研究生；目标为毕业、文章、技能与就业兜底并行</w:t>
            </w:r>
          </w:p>
        </w:tc>
      </w:tr>
      <w:tr>
        <w:tc>
          <w:tcPr>
            <w:tcW w:type="dxa" w:w="2381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2A415F"/>
                <w:sz w:val="21"/>
              </w:rPr>
              <w:t>执行原则</w:t>
            </w:r>
          </w:p>
        </w:tc>
        <w:tc>
          <w:tcPr>
            <w:tcW w:type="dxa" w:w="55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后续默认以本文件为准；除非技术生态明显变化、课程失效或个人目标重大变化，否则不改主线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D5E1F2"/>
          <w:left w:val="single" w:sz="10" w:space="0" w:color="D5E1F2"/>
          <w:bottom w:val="single" w:sz="10" w:space="0" w:color="D5E1F2"/>
          <w:right w:val="single" w:sz="10" w:space="0" w:color="D5E1F2"/>
          <w:insideH w:val="single" w:sz="10" w:space="0" w:color="D5E1F2"/>
          <w:insideV w:val="single" w:sz="10" w:space="0" w:color="D5E1F2"/>
        </w:tblBorders>
      </w:tblPr>
      <w:tblGrid>
        <w:gridCol w:w="9071"/>
      </w:tblGrid>
      <w:tr>
        <w:tc>
          <w:tcPr>
            <w:tcW w:type="dxa" w:w="9972"/>
            <w:shd w:fill="F2F7FD"/>
            <w:tcMar>
              <w:top w:w="130" w:type="dxa"/>
              <w:start w:w="160" w:type="dxa"/>
              <w:bottom w:w="120" w:type="dxa"/>
              <w:end w:w="160" w:type="dxa"/>
            </w:tcMar>
          </w:tcPr>
          <w:p>
            <w:pPr>
              <w:spacing w:after="40"/>
              <w:jc w:val="left"/>
            </w:pPr>
            <w:r>
              <w:rPr>
                <w:rFonts w:ascii="Noto Sans CJK SC" w:hAnsi="Noto Sans CJK SC" w:eastAsia="Noto Sans CJK SC" w:cs="Noto Sans CJK SC"/>
                <w:b/>
                <w:color w:val="16396C"/>
                <w:sz w:val="23"/>
              </w:rPr>
              <w:t>固定声明</w:t>
            </w:r>
          </w:p>
          <w:p>
            <w:pPr>
              <w:spacing w:before="0" w:after="0" w:line="288" w:lineRule="auto"/>
            </w:pPr>
            <w:r>
              <w:rPr>
                <w:rFonts w:ascii="Noto Sans CJK SC" w:hAnsi="Noto Sans CJK SC" w:eastAsia="Noto Sans CJK SC" w:cs="Noto Sans CJK SC"/>
                <w:sz w:val="20"/>
              </w:rPr>
              <w:t>本路线不是培训机构式“大而全 AI 工程师路线”，而是围绕科研可用、论文可做、能力可就业三条线做出的固定主线。后续对话中的学习安排、阶段任务、项目建议，均优先引用本文件。</w:t>
            </w:r>
          </w:p>
        </w:tc>
      </w:tr>
    </w:tbl>
    <w:p>
      <w:r>
        <w:rPr>
          <w:rFonts w:ascii="Noto Sans CJK SC" w:hAnsi="Noto Sans CJK SC" w:eastAsia="Noto Sans CJK SC" w:cs="Noto Sans CJK SC"/>
          <w:sz w:val="22"/>
        </w:rPr>
        <w:br w:type="page"/>
      </w:r>
    </w:p>
    <w:p>
      <w:pPr>
        <w:spacing w:before="200" w:after="100"/>
      </w:pPr>
      <w:r>
        <w:rPr>
          <w:rFonts w:ascii="Noto Sans CJK SC" w:hAnsi="Noto Sans CJK SC" w:eastAsia="Noto Sans CJK SC" w:cs="Noto Sans CJK SC"/>
          <w:b/>
          <w:color w:val="16396C"/>
          <w:sz w:val="30"/>
        </w:rPr>
        <w:t>一、总目标与边界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本路线的总目标固定为三项：① 服务当前研究与毕业；② 补齐可复用的 AI / 计算机能力；③ 在考公不确定的情况下保留可就业的技术兜底。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本路线明确不以“短期转码求职”为主，也不以“纯学术理论推导”为主，而是采用“科研应用 + 工程基础 + LLM 实操”三线并行的结构。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当前主线默认不优先投入以下方向：YOLO 全家桶、TensorRT / ONNX 推理优化、Multi-Agent 花活、商业方案包装课。它们不删除，但全部后置。</w:t>
      </w:r>
    </w:p>
    <w:p>
      <w:pPr>
        <w:spacing w:before="200" w:after="100"/>
      </w:pPr>
      <w:r>
        <w:rPr>
          <w:rFonts w:ascii="Noto Sans CJK SC" w:hAnsi="Noto Sans CJK SC" w:eastAsia="Noto Sans CJK SC" w:cs="Noto Sans CJK SC"/>
          <w:b/>
          <w:color w:val="16396C"/>
          <w:sz w:val="30"/>
        </w:rPr>
        <w:t>二、固定平台栈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7E2EF"/>
          <w:left w:val="single" w:sz="8" w:space="0" w:color="D7E2EF"/>
          <w:bottom w:val="single" w:sz="8" w:space="0" w:color="D7E2EF"/>
          <w:right w:val="single" w:sz="8" w:space="0" w:color="D7E2EF"/>
          <w:insideH w:val="single" w:sz="8" w:space="0" w:color="D7E2EF"/>
          <w:insideV w:val="single" w:sz="8" w:space="0" w:color="D7E2EF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355C8C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平台</w:t>
            </w:r>
          </w:p>
        </w:tc>
        <w:tc>
          <w:tcPr>
            <w:tcW w:type="dxa" w:w="272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355C8C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固定用途</w:t>
            </w:r>
          </w:p>
        </w:tc>
        <w:tc>
          <w:tcPr>
            <w:tcW w:type="dxa" w:w="28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355C8C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本路线中的位置</w:t>
            </w:r>
          </w:p>
        </w:tc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355C8C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是否建议付费</w:t>
            </w:r>
          </w:p>
        </w:tc>
      </w:tr>
      <w:tr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Kaggle Learn</w:t>
            </w:r>
          </w:p>
        </w:tc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Python / Pandas / Data Visualization / SQL / ML 短练习</w:t>
            </w:r>
          </w:p>
        </w:tc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阶段一必做；阶段二补练</w:t>
            </w:r>
          </w:p>
        </w:tc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否</w:t>
            </w:r>
          </w:p>
        </w:tc>
      </w:tr>
      <w:tr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Coursera</w:t>
            </w:r>
          </w:p>
        </w:tc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吴恩达 ML / DL 主线 + GenAI 过渡课</w:t>
            </w:r>
          </w:p>
        </w:tc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阶段二与阶段三主线</w:t>
            </w:r>
          </w:p>
        </w:tc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是</w:t>
            </w:r>
          </w:p>
        </w:tc>
      </w:tr>
      <w:tr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PyTorch Tutorials</w:t>
            </w:r>
          </w:p>
        </w:tc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PyTorch 基础与训练循环</w:t>
            </w:r>
          </w:p>
        </w:tc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阶段二必做补强</w:t>
            </w:r>
          </w:p>
        </w:tc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否</w:t>
            </w:r>
          </w:p>
        </w:tc>
      </w:tr>
      <w:tr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Hugging Face</w:t>
            </w:r>
          </w:p>
        </w:tc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Transformer、模型调用、RAG、微调与评估</w:t>
            </w:r>
          </w:p>
        </w:tc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阶段三主线</w:t>
            </w:r>
          </w:p>
        </w:tc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否</w:t>
            </w:r>
          </w:p>
        </w:tc>
      </w:tr>
      <w:tr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Missing Semester + GitHub Skills</w:t>
            </w:r>
          </w:p>
        </w:tc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Linux / Shell / Git / 工具链</w:t>
            </w:r>
          </w:p>
        </w:tc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阶段一必做</w:t>
            </w:r>
          </w:p>
        </w:tc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否</w:t>
            </w:r>
          </w:p>
        </w:tc>
      </w:tr>
      <w:tr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Khan Academy</w:t>
            </w:r>
          </w:p>
        </w:tc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统计与概率基础补修</w:t>
            </w:r>
          </w:p>
        </w:tc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阶段一必做</w:t>
            </w:r>
          </w:p>
        </w:tc>
        <w:tc>
          <w:tcPr>
            <w:tcW w:type="dxa" w:w="24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否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D5E1F2"/>
          <w:left w:val="single" w:sz="10" w:space="0" w:color="D5E1F2"/>
          <w:bottom w:val="single" w:sz="10" w:space="0" w:color="D5E1F2"/>
          <w:right w:val="single" w:sz="10" w:space="0" w:color="D5E1F2"/>
          <w:insideH w:val="single" w:sz="10" w:space="0" w:color="D5E1F2"/>
          <w:insideV w:val="single" w:sz="10" w:space="0" w:color="D5E1F2"/>
        </w:tblBorders>
      </w:tblPr>
      <w:tblGrid>
        <w:gridCol w:w="9071"/>
      </w:tblGrid>
      <w:tr>
        <w:tc>
          <w:tcPr>
            <w:tcW w:type="dxa" w:w="9972"/>
            <w:shd w:fill="F8FBFE"/>
            <w:tcMar>
              <w:top w:w="130" w:type="dxa"/>
              <w:start w:w="160" w:type="dxa"/>
              <w:bottom w:w="120" w:type="dxa"/>
              <w:end w:w="160" w:type="dxa"/>
            </w:tcMar>
          </w:tcPr>
          <w:p>
            <w:pPr>
              <w:spacing w:after="40"/>
              <w:jc w:val="left"/>
            </w:pPr>
            <w:r>
              <w:rPr>
                <w:rFonts w:ascii="Noto Sans CJK SC" w:hAnsi="Noto Sans CJK SC" w:eastAsia="Noto Sans CJK SC" w:cs="Noto Sans CJK SC"/>
                <w:b/>
                <w:color w:val="16396C"/>
                <w:sz w:val="23"/>
              </w:rPr>
              <w:t>执行节奏（固定）</w:t>
            </w:r>
          </w:p>
          <w:p>
            <w:pPr>
              <w:spacing w:before="0" w:after="0" w:line="288" w:lineRule="auto"/>
            </w:pPr>
            <w:r>
              <w:rPr>
                <w:rFonts w:ascii="Noto Sans CJK SC" w:hAnsi="Noto Sans CJK SC" w:eastAsia="Noto Sans CJK SC" w:cs="Noto Sans CJK SC"/>
                <w:sz w:val="20"/>
              </w:rPr>
              <w:t>默认每周学习 7 小时左右：6 天学习，1 天休息。单日结构固定为“主线课程 45-60 分钟 + 动手练习 20-40 分钟 + 10 分钟记录”。先保连续性，不追求单日爆发。</w:t>
            </w:r>
          </w:p>
        </w:tc>
      </w:tr>
    </w:tbl>
    <w:p>
      <w:r>
        <w:rPr>
          <w:rFonts w:ascii="Noto Sans CJK SC" w:hAnsi="Noto Sans CJK SC" w:eastAsia="Noto Sans CJK SC" w:cs="Noto Sans CJK SC"/>
          <w:sz w:val="22"/>
        </w:rPr>
        <w:br w:type="page"/>
      </w:r>
    </w:p>
    <w:p>
      <w:pPr>
        <w:spacing w:before="200" w:after="100"/>
      </w:pPr>
      <w:r>
        <w:rPr>
          <w:rFonts w:ascii="Noto Sans CJK SC" w:hAnsi="Noto Sans CJK SC" w:eastAsia="Noto Sans CJK SC" w:cs="Noto Sans CJK SC"/>
          <w:b/>
          <w:color w:val="16396C"/>
          <w:sz w:val="30"/>
        </w:rPr>
        <w:t>三、五阶段固定主线总览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7E2EF"/>
          <w:left w:val="single" w:sz="8" w:space="0" w:color="D7E2EF"/>
          <w:bottom w:val="single" w:sz="8" w:space="0" w:color="D7E2EF"/>
          <w:right w:val="single" w:sz="8" w:space="0" w:color="D7E2EF"/>
          <w:insideH w:val="single" w:sz="8" w:space="0" w:color="D7E2EF"/>
          <w:insideV w:val="single" w:sz="8" w:space="0" w:color="D7E2EF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850"/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  <w:shd w:fill="355C8C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814"/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  <w:shd w:fill="355C8C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核心主题</w:t>
            </w:r>
          </w:p>
        </w:tc>
        <w:tc>
          <w:tcPr>
            <w:tcW w:type="dxa" w:w="2835"/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  <w:shd w:fill="355C8C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固定课程/资源</w:t>
            </w:r>
          </w:p>
        </w:tc>
        <w:tc>
          <w:tcPr>
            <w:tcW w:type="dxa" w:w="2494"/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  <w:shd w:fill="355C8C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阶段产出</w:t>
            </w:r>
          </w:p>
        </w:tc>
        <w:tc>
          <w:tcPr>
            <w:tcW w:type="dxa" w:w="1134"/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  <w:shd w:fill="355C8C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预计时长</w:t>
            </w:r>
          </w:p>
        </w:tc>
      </w:tr>
      <w:tr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I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Python + 数据基础 + Linux/Git/SQL + 统计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Kaggle Learn；Missing Semester；GitHub Skills；Khan Academy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能独立处理表格数据、画图、写基础 SQL、使用 Git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8-10 周</w:t>
            </w:r>
          </w:p>
        </w:tc>
      </w:tr>
      <w:tr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II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机器学习 + PyTorch + 深度学习基础 + 模型评估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Machine Learning Specialization；PyTorch Tutorials；Deep Learning Specialization（前半）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能完成 sklearn / PyTorch 基础建模与评价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10-12 周</w:t>
            </w:r>
          </w:p>
        </w:tc>
      </w:tr>
      <w:tr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III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Transformer + Hugging Face + RAG + LoRA 入门 + LLM 评估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Generative AI with LLMs；HF LLM Course；HF Cookbook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做出一个能跑通的医学文本 RAG 原型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8-10 周</w:t>
            </w:r>
          </w:p>
        </w:tc>
      </w:tr>
      <w:tr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IV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医学结合项目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默认主项目：口腔/糖尿病牙周炎文献问答与知识库 RAG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形成可展示 demo 与可写进简历/汇报的项目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6-8 周</w:t>
            </w:r>
          </w:p>
        </w:tc>
      </w:tr>
      <w:tr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V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工程化与交付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FastAPI；Docker；GitHub 项目整理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完成 API 化、容器化与作品归档</w:t>
            </w:r>
          </w:p>
        </w:tc>
        <w:tc>
          <w:tcPr>
            <w:tcW w:type="dxa" w:w="1994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4-6 周</w:t>
            </w:r>
          </w:p>
        </w:tc>
      </w:tr>
    </w:tbl>
    <w:p>
      <w:r>
        <w:rPr>
          <w:rFonts w:ascii="Noto Sans CJK SC" w:hAnsi="Noto Sans CJK SC" w:eastAsia="Noto Sans CJK SC" w:cs="Noto Sans CJK SC"/>
          <w:sz w:val="22"/>
        </w:rPr>
        <w:br w:type="page"/>
      </w:r>
    </w:p>
    <w:p>
      <w:pPr>
        <w:spacing w:before="200" w:after="100"/>
      </w:pPr>
      <w:r>
        <w:rPr>
          <w:rFonts w:ascii="Noto Sans CJK SC" w:hAnsi="Noto Sans CJK SC" w:eastAsia="Noto Sans CJK SC" w:cs="Noto Sans CJK SC"/>
          <w:b/>
          <w:color w:val="16396C"/>
          <w:sz w:val="30"/>
        </w:rPr>
        <w:t>四、阶段 I 与阶段 II 的固定内容</w:t>
      </w:r>
    </w:p>
    <w:p>
      <w:pPr>
        <w:spacing w:before="160" w:after="60"/>
      </w:pPr>
      <w:r>
        <w:rPr>
          <w:rFonts w:ascii="Noto Sans CJK SC" w:hAnsi="Noto Sans CJK SC" w:eastAsia="Noto Sans CJK SC" w:cs="Noto Sans CJK SC"/>
          <w:b/>
          <w:color w:val="264C80"/>
          <w:sz w:val="24"/>
        </w:rPr>
        <w:t>阶段 I：Python / 数据处理 / 工具链 / 统计基础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固定顺序：Python -&gt; Pandas -&gt; Data Visualization -&gt; Intro to SQL -&gt; Linux/Shell -&gt; Git/GitHub -&gt; 统计与概率基础。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固定课程栈：Kaggle Learn 的 Python、Pandas、Data Visualization、Intro to SQL；MIT The Missing Semester（Shell / Command-line Environment / Version Control and Git）；GitHub Skills 的 GitHub 入门；Khan Academy Statistics and Probability。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完成标准固定为六项：① 能读取并清洗 csv/xlsx；② 能做分组统计与基础可视化；③ 能写 SELECT / WHERE / GROUP BY / JOIN；④ 能在 Linux 下完成基本文件、进程与环境操作；⑤ 能使用 Git 提交、回滚、分支与推送；⑥ 能说清均值、方差、置信区间、假设检验的用途。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7E2EF"/>
          <w:left w:val="single" w:sz="8" w:space="0" w:color="D7E2EF"/>
          <w:bottom w:val="single" w:sz="8" w:space="0" w:color="D7E2EF"/>
          <w:right w:val="single" w:sz="8" w:space="0" w:color="D7E2EF"/>
          <w:insideH w:val="single" w:sz="8" w:space="0" w:color="D7E2EF"/>
          <w:insideV w:val="single" w:sz="8" w:space="0" w:color="D7E2EF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18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4A739E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289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4A739E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对应资源</w:t>
            </w:r>
          </w:p>
        </w:tc>
        <w:tc>
          <w:tcPr>
            <w:tcW w:type="dxa" w:w="249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4A739E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必须产出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4A739E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通过标准</w:t>
            </w:r>
          </w:p>
        </w:tc>
      </w:tr>
      <w:tr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Python / Pandas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Kaggle Python + Pandas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完成课程练习并独立重写 1 个 notebook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能自己处理 1 份真实表格</w:t>
            </w:r>
          </w:p>
        </w:tc>
      </w:tr>
      <w:tr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可视化 / SQL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Kaggle Data Visualization + Intro to SQL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做 1 张可解释图 + 1 份 SQL 练习笔记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能对表格与数据库做基础分析</w:t>
            </w:r>
          </w:p>
        </w:tc>
      </w:tr>
      <w:tr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Linux / Git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Missing Semester + GitHub Skills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建立 1 个 GitHub 仓库并至少 5 次提交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能在命令行完成常规开发操作</w:t>
            </w:r>
          </w:p>
        </w:tc>
      </w:tr>
      <w:tr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统计基础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Khan Academy 统计与概率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完成指定练习并写 1 页概念摘要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能解释常用统计概念而不混淆</w:t>
            </w:r>
          </w:p>
        </w:tc>
      </w:tr>
    </w:tbl>
    <w:p>
      <w:pPr>
        <w:spacing w:before="160" w:after="60"/>
      </w:pPr>
      <w:r>
        <w:rPr>
          <w:rFonts w:ascii="Noto Sans CJK SC" w:hAnsi="Noto Sans CJK SC" w:eastAsia="Noto Sans CJK SC" w:cs="Noto Sans CJK SC"/>
          <w:b/>
          <w:color w:val="264C80"/>
          <w:sz w:val="24"/>
        </w:rPr>
        <w:t>阶段 II：机器学习 / PyTorch / 深度学习 / 模型评估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固定顺序：Machine Learning Specialization -&gt; Kaggle Intro / Intermediate Machine Learning 补练 -&gt; PyTorch Learn the Basics -&gt; Deep Learning Specialization（先完成基础部分） -&gt; 模型评估与误差分析。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这一阶段的目标不是追求复杂模型，而是掌握“建模流程”。必须建立训练集/验证集/测试集意识，理解过拟合、特征工程、交叉验证、评价指标与误差来源。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PyTorch 在本路线中是必修，不再只停留在 TensorFlow / Keras 层面。必须能看懂张量、Dataset/DataLoader、模型定义、损失函数、优化器和基础训练循环。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D5E1F2"/>
          <w:left w:val="single" w:sz="10" w:space="0" w:color="D5E1F2"/>
          <w:bottom w:val="single" w:sz="10" w:space="0" w:color="D5E1F2"/>
          <w:right w:val="single" w:sz="10" w:space="0" w:color="D5E1F2"/>
          <w:insideH w:val="single" w:sz="10" w:space="0" w:color="D5E1F2"/>
          <w:insideV w:val="single" w:sz="10" w:space="0" w:color="D5E1F2"/>
        </w:tblBorders>
      </w:tblPr>
      <w:tblGrid>
        <w:gridCol w:w="9071"/>
      </w:tblGrid>
      <w:tr>
        <w:tc>
          <w:tcPr>
            <w:tcW w:type="dxa" w:w="9972"/>
            <w:shd w:fill="F5F9FE"/>
            <w:tcMar>
              <w:top w:w="130" w:type="dxa"/>
              <w:start w:w="160" w:type="dxa"/>
              <w:bottom w:w="120" w:type="dxa"/>
              <w:end w:w="160" w:type="dxa"/>
            </w:tcMar>
          </w:tcPr>
          <w:p>
            <w:pPr>
              <w:spacing w:after="40"/>
              <w:jc w:val="left"/>
            </w:pPr>
            <w:r>
              <w:rPr>
                <w:rFonts w:ascii="Noto Sans CJK SC" w:hAnsi="Noto Sans CJK SC" w:eastAsia="Noto Sans CJK SC" w:cs="Noto Sans CJK SC"/>
                <w:b/>
                <w:color w:val="16396C"/>
                <w:sz w:val="23"/>
              </w:rPr>
              <w:t>阶段 II 的固定成果</w:t>
            </w:r>
          </w:p>
          <w:p>
            <w:pPr>
              <w:spacing w:before="0" w:after="0" w:line="288" w:lineRule="auto"/>
            </w:pPr>
            <w:r>
              <w:rPr>
                <w:rFonts w:ascii="Noto Sans CJK SC" w:hAnsi="Noto Sans CJK SC" w:eastAsia="Noto Sans CJK SC" w:cs="Noto Sans CJK SC"/>
                <w:sz w:val="20"/>
              </w:rPr>
              <w:t>至少完成 2 个成品：① 一个 sklearn 小模型分析报告；② 一个 PyTorch 基础训练 notebook。报告必须包含任务定义、数据切分、指标、结果与错误分析。</w:t>
            </w:r>
          </w:p>
        </w:tc>
      </w:tr>
    </w:tbl>
    <w:p>
      <w:r>
        <w:rPr>
          <w:rFonts w:ascii="Noto Sans CJK SC" w:hAnsi="Noto Sans CJK SC" w:eastAsia="Noto Sans CJK SC" w:cs="Noto Sans CJK SC"/>
          <w:sz w:val="22"/>
        </w:rPr>
        <w:br w:type="page"/>
      </w:r>
    </w:p>
    <w:p>
      <w:pPr>
        <w:spacing w:before="200" w:after="100"/>
      </w:pPr>
      <w:r>
        <w:rPr>
          <w:rFonts w:ascii="Noto Sans CJK SC" w:hAnsi="Noto Sans CJK SC" w:eastAsia="Noto Sans CJK SC" w:cs="Noto Sans CJK SC"/>
          <w:b/>
          <w:color w:val="16396C"/>
          <w:sz w:val="30"/>
        </w:rPr>
        <w:t>五、阶段 III 至阶段 V 的固定内容</w:t>
      </w:r>
    </w:p>
    <w:p>
      <w:pPr>
        <w:spacing w:before="160" w:after="60"/>
      </w:pPr>
      <w:r>
        <w:rPr>
          <w:rFonts w:ascii="Noto Sans CJK SC" w:hAnsi="Noto Sans CJK SC" w:eastAsia="Noto Sans CJK SC" w:cs="Noto Sans CJK SC"/>
          <w:b/>
          <w:color w:val="264C80"/>
          <w:sz w:val="24"/>
        </w:rPr>
        <w:t>阶段 III：Transformer / Hugging Face / RAG / LoRA 入门 / 大模型评估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固定顺序：Generative AI with Large Language Models -&gt; Hugging Face LLM Course（Transformer models、Using Transformers、Fine-tuning a pretrained model 等章节） -&gt; Hugging Face Open-Source AI Cookbook（先做基础 RAG，再做 RAG evaluation） -&gt; LoRA / PEFT 概念与小样例。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此阶段不以“训练大模型”为目标，而以“会调用、会构建、会评估”三件事为目标。默认先学 Embedding、向量检索、RAG 流程，再接微调入门。Agent 不进入当前主线。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固定完成标准：① 能说明 Transformer、Embedding、RAG、LoRA 的作用边界；② 能用 Hugging Face 跑通模型调用；③ 能做一个带文档检索的 RAG 原型；④ 能做最基础的 RAG 评估记录。</w:t>
      </w:r>
    </w:p>
    <w:p>
      <w:pPr>
        <w:spacing w:before="160" w:after="60"/>
      </w:pPr>
      <w:r>
        <w:rPr>
          <w:rFonts w:ascii="Noto Sans CJK SC" w:hAnsi="Noto Sans CJK SC" w:eastAsia="Noto Sans CJK SC" w:cs="Noto Sans CJK SC"/>
          <w:b/>
          <w:color w:val="264C80"/>
          <w:sz w:val="24"/>
        </w:rPr>
        <w:t>阶段 IV：医学结合项目（固定主项目）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本路线的固定主项目定为：口腔 / 糖尿病牙周炎文献问答与知识库 RAG 系统。理由是它最贴近当前学术背景，既能服务研究阅读，也能体现 LLM 应用能力，还便于后续展示与扩展。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项目最低交付标准固定为四项：① 一份自建医学文献知识库；② 一个可回答具体问题的检索增强问答原型；③ 一份评估记录（至少包含若干问题、回答、参考来源与主观质量判断）；④ 一份项目说明文档。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单细胞 / 组学辅助分析工具保留为阶段 IV 的后续扩展方向，但不抢占主项目位置；只有在主项目完成后，才进入扩展开发。</w:t>
      </w:r>
    </w:p>
    <w:p>
      <w:pPr>
        <w:spacing w:before="160" w:after="60"/>
      </w:pPr>
      <w:r>
        <w:rPr>
          <w:rFonts w:ascii="Noto Sans CJK SC" w:hAnsi="Noto Sans CJK SC" w:eastAsia="Noto Sans CJK SC" w:cs="Noto Sans CJK SC"/>
          <w:b/>
          <w:color w:val="264C80"/>
          <w:sz w:val="24"/>
        </w:rPr>
        <w:t>阶段 V：FastAPI / Docker / 部署 / GitHub 作品整理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固定顺序：FastAPI -&gt; Docker -&gt; 本地部署 -&gt; GitHub 项目结构整理。目标是把阶段 IV 的主项目做成一个可以演示、可以复现、可以写进简历或汇报的作品。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固定完成标准：① 提供 API 或 Web Demo 之一；② 提供 requirements / environment 文件；③ 提供 README；④ GitHub 仓库结构清晰，能够被他人复现。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D5E1F2"/>
          <w:left w:val="single" w:sz="10" w:space="0" w:color="D5E1F2"/>
          <w:bottom w:val="single" w:sz="10" w:space="0" w:color="D5E1F2"/>
          <w:right w:val="single" w:sz="10" w:space="0" w:color="D5E1F2"/>
          <w:insideH w:val="single" w:sz="10" w:space="0" w:color="D5E1F2"/>
          <w:insideV w:val="single" w:sz="10" w:space="0" w:color="D5E1F2"/>
        </w:tblBorders>
      </w:tblPr>
      <w:tblGrid>
        <w:gridCol w:w="9071"/>
      </w:tblGrid>
      <w:tr>
        <w:tc>
          <w:tcPr>
            <w:tcW w:type="dxa" w:w="9972"/>
            <w:shd w:fill="FCF6EE"/>
            <w:tcMar>
              <w:top w:w="130" w:type="dxa"/>
              <w:start w:w="160" w:type="dxa"/>
              <w:bottom w:w="120" w:type="dxa"/>
              <w:end w:w="160" w:type="dxa"/>
            </w:tcMar>
          </w:tcPr>
          <w:p>
            <w:pPr>
              <w:spacing w:after="40"/>
              <w:jc w:val="left"/>
            </w:pPr>
            <w:r>
              <w:rPr>
                <w:rFonts w:ascii="Noto Sans CJK SC" w:hAnsi="Noto Sans CJK SC" w:eastAsia="Noto Sans CJK SC" w:cs="Noto Sans CJK SC"/>
                <w:b/>
                <w:color w:val="16396C"/>
                <w:sz w:val="23"/>
              </w:rPr>
              <w:t>当前明确后置的内容</w:t>
            </w:r>
          </w:p>
          <w:p>
            <w:pPr>
              <w:spacing w:before="0" w:after="0" w:line="288" w:lineRule="auto"/>
            </w:pPr>
            <w:r>
              <w:rPr>
                <w:rFonts w:ascii="Noto Sans CJK SC" w:hAnsi="Noto Sans CJK SC" w:eastAsia="Noto Sans CJK SC" w:cs="Noto Sans CJK SC"/>
                <w:sz w:val="20"/>
              </w:rPr>
              <w:t>YOLO 全家桶、TensorRT、ONNX 优化、Multi-Agent、纯商业方案拆解课，全部不纳入当前主线。只有当五阶段主线完成，或者研究/工作目标明确要求时，才允许开启。</w:t>
            </w:r>
          </w:p>
        </w:tc>
      </w:tr>
    </w:tbl>
    <w:p>
      <w:r>
        <w:rPr>
          <w:rFonts w:ascii="Noto Sans CJK SC" w:hAnsi="Noto Sans CJK SC" w:eastAsia="Noto Sans CJK SC" w:cs="Noto Sans CJK SC"/>
          <w:sz w:val="22"/>
        </w:rPr>
        <w:br w:type="page"/>
      </w:r>
    </w:p>
    <w:p>
      <w:pPr>
        <w:spacing w:before="200" w:after="100"/>
      </w:pPr>
      <w:r>
        <w:rPr>
          <w:rFonts w:ascii="Noto Sans CJK SC" w:hAnsi="Noto Sans CJK SC" w:eastAsia="Noto Sans CJK SC" w:cs="Noto Sans CJK SC"/>
          <w:b/>
          <w:color w:val="16396C"/>
          <w:sz w:val="30"/>
        </w:rPr>
        <w:t>六、前 12 周启动期（固定执行表）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7E2EF"/>
          <w:left w:val="single" w:sz="8" w:space="0" w:color="D7E2EF"/>
          <w:bottom w:val="single" w:sz="8" w:space="0" w:color="D7E2EF"/>
          <w:right w:val="single" w:sz="8" w:space="0" w:color="D7E2EF"/>
          <w:insideH w:val="single" w:sz="8" w:space="0" w:color="D7E2EF"/>
          <w:insideV w:val="single" w:sz="8" w:space="0" w:color="D7E2EF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355C8C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周次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355C8C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主线内容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355C8C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配套练习 / 输出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355C8C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阶段定位</w:t>
            </w:r>
          </w:p>
        </w:tc>
      </w:tr>
      <w:tr>
        <w:tc>
          <w:tcPr>
            <w:tcW w:type="dxa" w:w="2493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1-2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Kaggle Python + Pandas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完成课程练习；重写 1 个数据处理 notebook；建立打卡文档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阶段 I</w:t>
            </w:r>
          </w:p>
        </w:tc>
      </w:tr>
      <w:tr>
        <w:tc>
          <w:tcPr>
            <w:tcW w:type="dxa" w:w="2493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3-4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Kaggle Data Visualization + Intro to SQL；Missing Semester 的 Shell / Command-line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画 1 张真实数据图；做 1 套 SQL 笔记；熟悉命令行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阶段 I</w:t>
            </w:r>
          </w:p>
        </w:tc>
      </w:tr>
      <w:tr>
        <w:tc>
          <w:tcPr>
            <w:tcW w:type="dxa" w:w="2493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5-6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Missing Semester 的 Git；GitHub Skills；Khan Academy 统计基础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建仓库并提交；完成统计练习；写 1 页统计摘要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阶段 I</w:t>
            </w:r>
          </w:p>
        </w:tc>
      </w:tr>
      <w:tr>
        <w:tc>
          <w:tcPr>
            <w:tcW w:type="dxa" w:w="2493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7-8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Machine Learning Specialization 前半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配合 Kaggle Intro to Machine Learning；完成课程编程作业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阶段 II</w:t>
            </w:r>
          </w:p>
        </w:tc>
      </w:tr>
      <w:tr>
        <w:tc>
          <w:tcPr>
            <w:tcW w:type="dxa" w:w="2493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9-10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Machine Learning Specialization 后半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补 Kaggle Intermediate Machine Learning；完成 1 份小模型分析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阶段 II</w:t>
            </w:r>
          </w:p>
        </w:tc>
      </w:tr>
      <w:tr>
        <w:tc>
          <w:tcPr>
            <w:tcW w:type="dxa" w:w="2493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11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PyTorch Learn the Basics / Quickstart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做 1 个训练循环 notebook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阶段 II</w:t>
            </w:r>
          </w:p>
        </w:tc>
      </w:tr>
      <w:tr>
        <w:tc>
          <w:tcPr>
            <w:tcW w:type="dxa" w:w="2493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12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Deep Learning Specialization 启动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整理阶段总结；确认下一阶段输入输出</w:t>
            </w:r>
          </w:p>
        </w:tc>
        <w:tc>
          <w:tcPr>
            <w:tcW w:type="dxa" w:w="2493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Noto Sans CJK SC" w:hAnsi="Noto Sans CJK SC" w:eastAsia="Noto Sans CJK SC" w:cs="Noto Sans CJK SC"/>
              </w:rPr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阶段 II</w:t>
            </w:r>
          </w:p>
        </w:tc>
      </w:tr>
    </w:tbl>
    <w:p>
      <w:r>
        <w:rPr>
          <w:rFonts w:ascii="Noto Sans CJK SC" w:hAnsi="Noto Sans CJK SC" w:eastAsia="Noto Sans CJK SC" w:cs="Noto Sans CJK SC"/>
          <w:sz w:val="22"/>
        </w:rPr>
        <w:br w:type="page"/>
      </w:r>
    </w:p>
    <w:p>
      <w:pPr>
        <w:spacing w:before="200" w:after="100"/>
      </w:pPr>
      <w:r>
        <w:rPr>
          <w:rFonts w:ascii="Noto Sans CJK SC" w:hAnsi="Noto Sans CJK SC" w:eastAsia="Noto Sans CJK SC" w:cs="Noto Sans CJK SC"/>
          <w:b/>
          <w:color w:val="16396C"/>
          <w:sz w:val="30"/>
        </w:rPr>
        <w:t>七、版本冻结与变更规则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本文件为固定执行版 v1.0。后续对话默认按此文档推进，不再重复重新选课、重新定主线。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允许变更的情形仅限四类：① 关键课程下线或明显失效；② 技术生态出现实质性变化，导致当前顺序不再合理；③ 用户目标发生重大变化，例如明确转向纯学术或纯就业；④ 现实约束导致某资源无法使用。</w:t>
      </w:r>
    </w:p>
    <w:p>
      <w:pPr>
        <w:pStyle w:val="BodyTight"/>
      </w:pPr>
      <w:r>
        <w:rPr>
          <w:rFonts w:ascii="Noto Sans CJK SC" w:hAnsi="Noto Sans CJK SC" w:eastAsia="Noto Sans CJK SC" w:cs="Noto Sans CJK SC"/>
          <w:sz w:val="21"/>
        </w:rPr>
        <w:t>任何后续调整都应视为“版本升级”，而不是口头临时改动。也就是说，未来若需改动，应以 v1.1、v2.0 等形式另立新文件，并保留本版本作为对照。</w:t>
      </w:r>
    </w:p>
    <w:sectPr w:rsidR="00FC693F" w:rsidRPr="0006063C" w:rsidSect="00034616">
      <w:footerReference w:type="default" r:id="rId9"/>
      <w:pgSz w:w="12240" w:h="15840"/>
      <w:pgMar w:top="113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SC" w:hAnsi="Noto Sans CJK SC" w:eastAsia="Noto Sans CJK SC" w:cs="Noto Sans CJK SC"/>
        <w:color w:val="646464"/>
        <w:sz w:val="18"/>
      </w:rPr>
      <w:t>AI 学习固定路线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Tight">
    <w:name w:val="Body Tight"/>
    <w:basedOn w:val="Normal"/>
    <w:pPr>
      <w:spacing w:line="300" w:lineRule="auto" w:after="100" w:before="0"/>
    </w:pPr>
    <w:rPr>
      <w:rFonts w:ascii="Noto Sans CJK SC" w:hAnsi="Noto Sans CJK SC" w:eastAsia="Noto Sans CJK SC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