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A0151" w14:textId="77777777" w:rsidR="0031634C" w:rsidRDefault="00BD6BAD">
      <w:pPr>
        <w:pStyle w:val="1"/>
      </w:pPr>
      <w:bookmarkStart w:id="0" w:name="X868a9956199931f99f035fe3e3318e47f45195f"/>
      <w:r>
        <w:t>Different Routes of Reaction Time Slowing in Cognitive Development and Aging</w:t>
      </w:r>
    </w:p>
    <w:p w14:paraId="61D13E64" w14:textId="77777777" w:rsidR="0031634C" w:rsidRDefault="00BD6BAD">
      <w:pPr>
        <w:pStyle w:val="2"/>
      </w:pPr>
      <w:bookmarkStart w:id="1" w:name="abstract"/>
      <w:r>
        <w:t>Abstract</w:t>
      </w:r>
    </w:p>
    <w:p w14:paraId="3353647C" w14:textId="77777777" w:rsidR="0031634C" w:rsidRDefault="00BD6BAD">
      <w:pPr>
        <w:pStyle w:val="2"/>
      </w:pPr>
      <w:bookmarkStart w:id="2" w:name="introduction"/>
      <w:bookmarkEnd w:id="1"/>
      <w:r>
        <w:t>Introduction</w:t>
      </w:r>
    </w:p>
    <w:p w14:paraId="2142C0F1" w14:textId="77777777" w:rsidR="0031634C" w:rsidRDefault="00BD6BAD">
      <w:pPr>
        <w:pStyle w:val="FirstParagraph"/>
      </w:pPr>
      <w:r>
        <w:t>Simple reaction time (SRT) measures the minimum time required for a participant to initiate an overt response following the onset of a single, highly predictable stimulus (Donders, 1869; Johnson et al., 1985). The measure is one of the most replicated mark</w:t>
      </w:r>
      <w:r>
        <w:t>ers of cognitive change across the lifespan. SRT decreases from early childhood through young adulthood, consistent with a global increase in the efficiency of neural information processing (Kail, 1991; Kail &amp; Salthouse, 1994). From young adulthood onward,</w:t>
      </w:r>
      <w:r>
        <w:t xml:space="preserve"> SRT gradually increases, reflecting a decline in processing speed that constrains performance across higher-order cognitive tasks (Salthouse, 1996, 2000). The resulting U-shaped trajectory has been replicated across task modalities, populations, and measu</w:t>
      </w:r>
      <w:r>
        <w:t>rement platforms (Cerella, 1985; Cerella &amp; Hale, 1994; Der &amp; Deary, 2006; Fozard et al., 1994).</w:t>
      </w:r>
    </w:p>
    <w:p w14:paraId="18F09380" w14:textId="77777777" w:rsidR="0031634C" w:rsidRDefault="00BD6BAD">
      <w:pPr>
        <w:pStyle w:val="a0"/>
      </w:pPr>
      <w:r>
        <w:t>Large-scale studies confirm the robustness of this trajectory. Longitudinal data from over 1,200 adults (ages 17–96) show SRT slowing of about 0.5 ms per year b</w:t>
      </w:r>
      <w:r>
        <w:t>eginning around age 20 (Fozard et al., 1994). A representative UK sample of over 7,000 adults found that RT slowing begins in the mid-20s and accelerates after age 60 (Der &amp; Deary, 2006). Web-based data collection has extended these findings to samples exc</w:t>
      </w:r>
      <w:r>
        <w:t>eeding 200,000 participants, confirming the curvilinear RT–age relationship and identifying education, health, and geographic factors as modifiers (Talboom et al., 2021; Woods et al., 2015). The slowing of SRT is also accompanied by increments in intraindi</w:t>
      </w:r>
      <w:r>
        <w:t>vidual variability (Der &amp; Deary, 2006; Dykiert et al., 2012; Fozard et al., 1994; Williams et al., 2005), and the U-shaped behavioral pattern parallels neurological development such as white matter myelination (Bartzokis et al., 2010; Chevalier et al., 201</w:t>
      </w:r>
      <w:r>
        <w:t>5). The consistency of the RT–age function across laboratory and remote platforms supports its status as a fundamental feature of cognitive development and aging.</w:t>
      </w:r>
    </w:p>
    <w:p w14:paraId="605766F2" w14:textId="77777777" w:rsidR="0031634C" w:rsidRDefault="00BD6BAD">
      <w:pPr>
        <w:pStyle w:val="a0"/>
      </w:pPr>
      <w:r>
        <w:t>Both the developmental and aging accounts share a core commitment: processing speed is unitar</w:t>
      </w:r>
      <w:r>
        <w:t>y, changing in level but not in kind across the lifespan. The proportional slowing hypothesis formalizes this commitment. Older adults’ RTs across dozens of tasks can be predicted from young adults’ RTs by a multiplicative function, suggesting a single slo</w:t>
      </w:r>
      <w:r>
        <w:t>wing factor (Cerella, 1985). An analogous proportional relationship holds between children’s and young adults’ RTs (Cerella &amp; Hale, 1994). This account treats all temporal components of the response as interchangeable. However, recent evidence shows that a</w:t>
      </w:r>
      <w:r>
        <w:t>ge-related RT slowing reflects slower response preparation rather than delayed initiation (Forrence et al., 2023). The delay between preparation and initiation remains constant across the adult lifespan. If the slowing factor were unitary, it should affect</w:t>
      </w:r>
      <w:r>
        <w:t xml:space="preserve"> all temporal components proportionally. This dissociation suggests that the U-shaped RT trajectory is not the product of a single factor rising and falling, but a composite of separable processes that may follow distinct developmental schedules.</w:t>
      </w:r>
    </w:p>
    <w:p w14:paraId="14153CC4" w14:textId="77777777" w:rsidR="0031634C" w:rsidRDefault="00BD6BAD">
      <w:pPr>
        <w:pStyle w:val="3"/>
      </w:pPr>
      <w:bookmarkStart w:id="3" w:name="Xb757741af064744f3aca2188b8fa4e8b23e7206"/>
      <w:r>
        <w:t>Cognitive</w:t>
      </w:r>
      <w:r>
        <w:t xml:space="preserve"> Factors Contributing to SRT Performance</w:t>
      </w:r>
    </w:p>
    <w:p w14:paraId="0DC8DF6E" w14:textId="77777777" w:rsidR="0031634C" w:rsidRDefault="00BD6BAD">
      <w:pPr>
        <w:pStyle w:val="FirstParagraph"/>
      </w:pPr>
      <w:r>
        <w:t>Although SRT is often treated as a unitary measure, even this simplest of reaction time tasks engages a chain of functionally separable processing stages: sensory transduction of the stimulus, detection that a stimu</w:t>
      </w:r>
      <w:r>
        <w:t>lus has appeared, temporal preparation for the response, motor programming, and initiation of the movement (Luce, 1986; Sanders, 1998). The additive factors method demonstrates that experimental manipulations can affect these stages independently (Sternber</w:t>
      </w:r>
      <w:r>
        <w:t>g, 1969; Sanders, 1998), supporting their functional separability. Each stage may follow a distinct developmental trajectory, and the contribution of each to the overall U-shaped RT function need not be uniform. Three classes of cognitive factors—</w:t>
      </w:r>
      <w:r>
        <w:lastRenderedPageBreak/>
        <w:t xml:space="preserve">temporal </w:t>
      </w:r>
      <w:r>
        <w:t>preparation, sustained attention, and motor programming—are particularly relevant because they differ in their developmental onset, neural substrate, and vulnerability to aging.</w:t>
      </w:r>
    </w:p>
    <w:p w14:paraId="6E304996" w14:textId="77777777" w:rsidR="0031634C" w:rsidRDefault="00BD6BAD">
      <w:pPr>
        <w:pStyle w:val="a0"/>
      </w:pPr>
      <w:r>
        <w:t xml:space="preserve">Among these, temporal preparation exerts the most pervasive influence on SRT. </w:t>
      </w:r>
      <w:r>
        <w:t>The measure is strongly modulated by the participant’s state of readiness at the moment the stimulus appears. In variable-foreperiod paradigms, RT decreases as the foreperiod lengthens, reflecting the buildup of temporal expectancy (Niemi &amp; Näätänen, 1981;</w:t>
      </w:r>
      <w:r>
        <w:t xml:space="preserve"> Sanders, 1998). This foreperiod effect develops across childhood: four-year-olds show only arousal-driven sequential effects without the controlled monitoring component that produces the classic decreasing foreperiod–RT function, which does not emerge unt</w:t>
      </w:r>
      <w:r>
        <w:t>il approximately age five to six (Vallesi &amp; Shallice, 2007). A dual-process account proposes that temporal preparation comprises both an automatic arousal component, available from early childhood, and a controlled component mediated by the right dorsolate</w:t>
      </w:r>
      <w:r>
        <w:t>ral prefrontal cortex, which matures later (Vallesi, Shallice, &amp; Walsh, 2007). In older adults, the foreperiod effect is generally preserved, but strategic, trial-to-trial adjustments in preparation are attenuated (Vallesi et al., 2009), suggesting that th</w:t>
      </w:r>
      <w:r>
        <w:t>e flexible component of temporal preparation declines while automatic preparation remains intact. These age-related differences in temporal preparation contribute directly to both mean SRT and trial-to-trial variability.</w:t>
      </w:r>
    </w:p>
    <w:p w14:paraId="4D83FC66" w14:textId="77777777" w:rsidR="0031634C" w:rsidRDefault="00BD6BAD">
      <w:pPr>
        <w:pStyle w:val="a0"/>
      </w:pPr>
      <w:r>
        <w:t>Whereas temporal preparation shapes</w:t>
      </w:r>
      <w:r>
        <w:t xml:space="preserve"> the baseline readiness for each trial, sustained attention determines how consistently that readiness is maintained across trials. Even within a brief SRT session, momentary fluctuations in sustained attention produce occasional slow responses that inflat</w:t>
      </w:r>
      <w:r>
        <w:t>e the right tail of the RT distribution. Children exhibit greater RT variability than adults, and recent evidence suggests that this variability is specifically associated with lapses of sustained attention rather than with overall processing speed per se.</w:t>
      </w:r>
      <w:r>
        <w:t xml:space="preserve"> In a population-based sample of over 1,000 children, inattention severity specifically predicted trial-to-trial RT variability, and this association held independently of mean speed (Aristodemou et al., 2024). The adaptive gain theory attributes these flu</w:t>
      </w:r>
      <w:r>
        <w:t>ctuations to the locus coeruleus–norepinephrine (LC-NE) system, which regulates the balance between focused task engagement and disengaged exploration (Aston-Jones &amp; Cohen, 2005). In older adults, attentional lapses also increase, and RT variability predic</w:t>
      </w:r>
      <w:r>
        <w:t xml:space="preserve">ts subsequent cognitive decline beyond what mean RT predicts (Hultsch et al., 2002; Bunce et al., 2004). The critical difference is that children’s lapses reflect an immature attentional control system—particularly prefrontal circuits supporting sustained </w:t>
      </w:r>
      <w:r>
        <w:t>attention—that has not yet reached adult efficiency, whereas older adults’ lapses reflect degradation of a previously mature system. These attentional fluctuations are the primary source of distributional skewness in SRT.</w:t>
      </w:r>
    </w:p>
    <w:p w14:paraId="5B76A71A" w14:textId="77777777" w:rsidR="0031634C" w:rsidRDefault="00BD6BAD">
      <w:pPr>
        <w:pStyle w:val="a0"/>
      </w:pPr>
      <w:r>
        <w:t xml:space="preserve">The central processes of temporal </w:t>
      </w:r>
      <w:r>
        <w:t>preparation and sustained attention operate upstream of a peripheral motor chain that follows its own developmental schedule. SRT includes both pre-motor cognitive components and motor execution components, and these are partially dissociable. In children,</w:t>
      </w:r>
      <w:r>
        <w:t xml:space="preserve"> motor execution speed improves dramatically from ages 4 to 12, reflecting musculoskeletal maturation and the development of motor coordination (Kiselev et al., 2009). In older adults, peripheral motor slowing is linked to reduced nerve conduction velocity</w:t>
      </w:r>
      <w:r>
        <w:t xml:space="preserve"> and slowed muscle contraction (Woods et al., 2015). The separation of SRT from movement time (MT)—the interval between movement initiation and target contact—is therefore critical for isolating cognitive from biomechanical contributions to age-related slo</w:t>
      </w:r>
      <w:r>
        <w:t>wing, a distinction that has been a foundational analytical goal in the chronometric tradition (Luce, 1986; Sanders, 1998).</w:t>
      </w:r>
    </w:p>
    <w:p w14:paraId="71F5664F" w14:textId="77777777" w:rsidR="0031634C" w:rsidRDefault="00BD6BAD">
      <w:pPr>
        <w:pStyle w:val="3"/>
      </w:pPr>
      <w:bookmarkStart w:id="4" w:name="X16b971f175580e6fbbeff2d78a812707124b750"/>
      <w:bookmarkEnd w:id="3"/>
      <w:r>
        <w:t>Beyond Mean RT: Distributional and Model-Based Approaches</w:t>
      </w:r>
    </w:p>
    <w:p w14:paraId="6E62EB0B" w14:textId="77777777" w:rsidR="0031634C" w:rsidRDefault="00BD6BAD">
      <w:pPr>
        <w:pStyle w:val="FirstParagraph"/>
      </w:pPr>
      <w:r>
        <w:t>The processing speed framework treats mean RT as a sufficient summary of p</w:t>
      </w:r>
      <w:r>
        <w:t>erformance. Under this assumption, trial-by-trial variability is measurement noise. Several lines of evidence challenge this view. Two individuals may produce identical mean RTs while differing in the shape of their RT distributions. One may respond near t</w:t>
      </w:r>
      <w:r>
        <w:t xml:space="preserve">he mean on every trial; the other may produce a mixture of fast responses and occasional slow outliers. These distributional differences reflect variation in the cognitive processes that generate responses (Balota &amp; Yap, 2011; Heathcote et al., 1991). The </w:t>
      </w:r>
      <w:r>
        <w:t xml:space="preserve">age groups that show the slowest </w:t>
      </w:r>
      <w:r>
        <w:lastRenderedPageBreak/>
        <w:t>mean RTs—young children and older adults—also show the most positively skewed distributions (West et al., 2002; Williams et al., 2005). This suggests that age-related slowing is driven by an increase in slow responses rathe</w:t>
      </w:r>
      <w:r>
        <w:t>r than a uniform shift in the entire distribution.</w:t>
      </w:r>
    </w:p>
    <w:p w14:paraId="63DFF90F" w14:textId="77777777" w:rsidR="0031634C" w:rsidRDefault="00BD6BAD">
      <w:pPr>
        <w:pStyle w:val="a0"/>
      </w:pPr>
      <w:r>
        <w:t>Intraindividual variability (IIV) across trials captures cognitive dimensions distinct from mean RT. Older adults exhibit greater IIV than younger adults, and this variability predicts subsequent cognitive</w:t>
      </w:r>
      <w:r>
        <w:t xml:space="preserve"> decline beyond what mean RT predicts (Hultsch et al., 2002). A meta-analysis confirmed that older adults are more variable in both SRT and choice RT, and that this difference persists after controlling for mean RT level (Dykiert et al., 2012). In childhoo</w:t>
      </w:r>
      <w:r>
        <w:t>d, RT variability decreases from early childhood through adolescence, paralleling the decrease in mean RT but sometimes at a steeper rate (Williams et al., 2005). The neural basis of these changes is linked to white matter integrity: in adults, total white</w:t>
      </w:r>
      <w:r>
        <w:t xml:space="preserve"> matter volume predicts RT instability after controlling for mean RT (Walhovd &amp; Fjell, 2007), and in children, developmental reductions in IIV are associated with maturation of white matter microstructure (Tamnes et al., 2012). The spread and shape of the </w:t>
      </w:r>
      <w:r>
        <w:t>RT distribution carry information about the cognitive system that is independent of its average speed.</w:t>
      </w:r>
    </w:p>
    <w:p w14:paraId="22629C3A" w14:textId="77777777" w:rsidR="0031634C" w:rsidRDefault="00BD6BAD">
      <w:pPr>
        <w:pStyle w:val="a0"/>
      </w:pPr>
      <w:r>
        <w:t>A related methodological concern is that total response time in reaching paradigms conflates pre-motor cognitive processes with motor execution. In a cro</w:t>
      </w:r>
      <w:r>
        <w:t>ss-sectional sample spanning childhood through older adulthood, where motor capabilities differ across age groups, this confound is not trivial. Separating the interval from stimulus onset to movement initiation (SRT) from the interval between movement ini</w:t>
      </w:r>
      <w:r>
        <w:t>tiation and target contact (movement time, MT) isolates stimulus detection and response preparation from reaching biomechanics. Distributional analysis of SRT, rather than total response time, is therefore the appropriate target for investigating cognitive</w:t>
      </w:r>
      <w:r>
        <w:t xml:space="preserve"> components of processing speed.</w:t>
      </w:r>
    </w:p>
    <w:p w14:paraId="3C102680" w14:textId="77777777" w:rsidR="0031634C" w:rsidRDefault="00BD6BAD">
      <w:pPr>
        <w:pStyle w:val="a0"/>
      </w:pPr>
      <w:r>
        <w:t xml:space="preserve">An SRT trial engages a chain of processing stages that differ in their susceptibility to developmental change. Sensory transduction and motor initiation are constrained by peripheral neural and musculoskeletal factors that </w:t>
      </w:r>
      <w:r>
        <w:t>mature in childhood and decline in old age, following the trajectory of white matter myelination (Bartzokis et al., 2010). Detection and response preparation depend on central processes—alertness, sustained attention, and the efficiency of stimulus–respons</w:t>
      </w:r>
      <w:r>
        <w:t>e mapping—that follow their own developmental trajectories (Sanders, 1998). Between-person differences in SRT may reflect stable features of this processing chain: one person may have a faster peripheral system, another a more efficient central system. Wit</w:t>
      </w:r>
      <w:r>
        <w:t>hin-person variability across trials reflects the consistency with which these stages operate from moment to moment (Hultsch et al., 2002; Walhovd &amp; Fjell, 2007). A parametric decomposition of the SRT distribution can, in principle, separate these sources.</w:t>
      </w:r>
      <w:r>
        <w:t xml:space="preserve"> A model whose parameters map onto distinct stages—peripheral latency, central processing speed, trial-to-trial consistency—would allow us to ask whether age-related slowing in children and older adults arises from the same or different components of this </w:t>
      </w:r>
      <w:r>
        <w:t>chain.</w:t>
      </w:r>
    </w:p>
    <w:p w14:paraId="52A1D6A3" w14:textId="77777777" w:rsidR="0031634C" w:rsidRDefault="00BD6BAD">
      <w:pPr>
        <w:pStyle w:val="a0"/>
      </w:pPr>
      <w:r>
        <w:t>Several parametric families have been used to decompose RT distributions. The ex-Gaussian distribution, a convolution of Gaussian and exponential components, is the most widely applied (Heathcote et al., 1991; Hockley, 1984; Luce, 1986). Its exponen</w:t>
      </w:r>
      <w:r>
        <w:t>tial tail component (τ) is often the most sensitive to experimental manipulations and individual differences (Balota &amp; Yap, 2011), and older adults’ RT slowing in the Stroop task is attributable primarily to increases in τ, with modest changes in the Gauss</w:t>
      </w:r>
      <w:r>
        <w:t xml:space="preserve">ian mean (Spieler et al., 1996). The ex-Gaussian has proven useful across a range of paradigms and populations, including developmental and clinical samples (Hwang-Gu et al., 2013; Leth-Steensen et al., 2000). The log-normal distribution is another option </w:t>
      </w:r>
      <w:r>
        <w:t>with practical advantages for modeling multiplicative effects (Lindeløv et al., 2021), though it is often empirically indistinguishable from the ex-Gaussian (Cousineau, 2004).</w:t>
      </w:r>
    </w:p>
    <w:p w14:paraId="25B418C3" w14:textId="77777777" w:rsidR="0031634C" w:rsidRDefault="00BD6BAD">
      <w:pPr>
        <w:pStyle w:val="a0"/>
      </w:pPr>
      <w:r>
        <w:t>The present study adopts the shifted Weibull distribution, following the SRT and</w:t>
      </w:r>
      <w:r>
        <w:t xml:space="preserve"> hierarchical Bayesian modeling literature established by Rouder and colleagues (Rouder et al., 2003, 2005). Like the ex-Gaussian, the Weibull provides a three-parameter characterization of positively skewed RT distributions. Its parameters—shift (</w:t>
      </w:r>
      <w:r>
        <w:rPr>
          <w:i/>
          <w:iCs/>
        </w:rPr>
        <w:t>t</w:t>
      </w:r>
      <w:r>
        <w:t>₀</w:t>
      </w:r>
      <w:r>
        <w:t>), sca</w:t>
      </w:r>
      <w:r>
        <w:t xml:space="preserve">le (λ), and shape (κ)—have been given a stage-based interpretation: the </w:t>
      </w:r>
      <w:r>
        <w:lastRenderedPageBreak/>
        <w:t>shift represents the minimum latency below which no response can occur, indexing peripheral processes (Dzhafarov, 1992; Luce, 1986); the scale indexes the spread of the distribution ab</w:t>
      </w:r>
      <w:r>
        <w:t>ove this minimum; and the shape governs distributional skewness and the consistency of processing across trials. The Weibull arises from race models of RT (Colonius, 1995; Logan, 1988, 1992), providing a theoretical link between distributional parameters a</w:t>
      </w:r>
      <w:r>
        <w:t xml:space="preserve">nd latent cognitive mechanisms. Empirical selective influence evidence supports the distinctness of the parameters: in a symbolic distance task, stimulus difficulty affected the scale parameter without altering the shift (Rouder et al., 2005). The primary </w:t>
      </w:r>
      <w:r>
        <w:t>reason for adopting the Weibull in the present study is pragmatic: Rouder et al. (2003, 2005) developed a hierarchical Bayesian framework specifically for the Weibull that is designed to provide stable estimates with small numbers of observations per parti</w:t>
      </w:r>
      <w:r>
        <w:t>cipant—a critical advantage given the brief protocols typical of developmental assessment.</w:t>
      </w:r>
    </w:p>
    <w:p w14:paraId="0926B9C0" w14:textId="77777777" w:rsidR="0031634C" w:rsidRDefault="00BD6BAD">
      <w:pPr>
        <w:pStyle w:val="a0"/>
      </w:pPr>
      <w:r>
        <w:t>How does the distributional approach relate to the drift-diffusion model (DDM)? The DDM is a process model: it specifies a mechanism of evidence accumulation and der</w:t>
      </w:r>
      <w:r>
        <w:t>ives RT distributions from that mechanism (Ratcliff, 1978; Ratcliff &amp; McKoon, 2008). This confers interpretive power—drift rate, boundary separation, and nondecision time map onto specific cognitive operations—but requires two-choice tasks with both correc</w:t>
      </w:r>
      <w:r>
        <w:t>t and error responses to identify its parameters. DDM analyses have provided the most direct evidence that children and older adults are slow for qualitatively different reasons: children show lower drift rates, wider boundaries, and longer nondecision tim</w:t>
      </w:r>
      <w:r>
        <w:t>es, whereas older adults show comparable drift rates but more conservative decision criteria and substantially longer nondecisional components (Ratcliff et al., 2006, 2012; Theisen et al., 2021). SRT tasks, however, produce only correct detections and lack</w:t>
      </w:r>
      <w:r>
        <w:t xml:space="preserve"> the error structure that constrains the DDM. The Weibull decomposition makes fewer mechanistic commitments than the DDM while still capturing key distributional features, and it can be applied to SRT where the DDM cannot. This makes it suited for a study </w:t>
      </w:r>
      <w:r>
        <w:t xml:space="preserve">of SRT where the primary goal is to characterize </w:t>
      </w:r>
      <w:r>
        <w:rPr>
          <w:i/>
          <w:iCs/>
        </w:rPr>
        <w:t>how</w:t>
      </w:r>
      <w:r>
        <w:t xml:space="preserve"> distributional properties change with age, before investigating </w:t>
      </w:r>
      <w:r>
        <w:rPr>
          <w:i/>
          <w:iCs/>
        </w:rPr>
        <w:t>why</w:t>
      </w:r>
      <w:r>
        <w:t xml:space="preserve"> they change.</w:t>
      </w:r>
    </w:p>
    <w:p w14:paraId="2DB0A41D" w14:textId="77777777" w:rsidR="0031634C" w:rsidRDefault="00BD6BAD">
      <w:pPr>
        <w:pStyle w:val="a0"/>
      </w:pPr>
      <w:r>
        <w:t xml:space="preserve">The same decomposition can be applied to MT. Because MT reflects ballistic execution rather than stimulus-driven decision </w:t>
      </w:r>
      <w:r>
        <w:t>processes, its parameters should show a different profile. The shift should carry a larger share of age-related variance, reflecting biomechanical limits of the effector system. The shape should be less sensitive to attentional factors that govern trial-to</w:t>
      </w:r>
      <w:r>
        <w:t>-trial consistency in SRT. If the SRT and MT parameters show weak cross-measure correlations, this confirms that the decomposition captures distinct processes in the two response phases.</w:t>
      </w:r>
    </w:p>
    <w:p w14:paraId="6C94AA33" w14:textId="77777777" w:rsidR="0031634C" w:rsidRDefault="00BD6BAD">
      <w:pPr>
        <w:pStyle w:val="3"/>
      </w:pPr>
      <w:bookmarkStart w:id="5" w:name="Xa0c9c0209d5ba7f69b599b3c0b240f415ddcd11"/>
      <w:bookmarkEnd w:id="4"/>
      <w:r>
        <w:t>Hierarchical Bayesian Estimation and Scalable Assessment</w:t>
      </w:r>
    </w:p>
    <w:p w14:paraId="1E52532D" w14:textId="77777777" w:rsidR="0031634C" w:rsidRDefault="00BD6BAD">
      <w:pPr>
        <w:pStyle w:val="FirstParagraph"/>
      </w:pPr>
      <w:r>
        <w:t>App-based an</w:t>
      </w:r>
      <w:r>
        <w:t>d tablet-based assessment platforms have made large-scale RT data collection feasible across the developmental and aging range. Tablet-based cognitive tasks produce data comparable to laboratory administration while allowing efficient group testing in scho</w:t>
      </w:r>
      <w:r>
        <w:t>ols, community centers, and homes (Bignardi et al., 2021). Touchscreen devices record movement time separately from reaction time at the hardware level, providing the SRT/MT decomposition without specialized equipment. However, app-based tasks typically yi</w:t>
      </w:r>
      <w:r>
        <w:t>eld fewer trials per participant than laboratory protocols. Sessions must be kept short for young children and older adults, and outlier rates are higher in these groups. The result is a characteristic data structure: many participants, each contributing a</w:t>
      </w:r>
      <w:r>
        <w:t xml:space="preserve"> modest number of usable trials.</w:t>
      </w:r>
    </w:p>
    <w:p w14:paraId="574DA782" w14:textId="77777777" w:rsidR="0031634C" w:rsidRDefault="00BD6BAD">
      <w:pPr>
        <w:pStyle w:val="a0"/>
      </w:pPr>
      <w:r>
        <w:t>This data structure creates a tension with distributional analysis. Maximum likelihood estimation (MLE) of distribution parameters at the individual level is unstable when trial counts are small (Rouder et al., 2003). Hiera</w:t>
      </w:r>
      <w:r>
        <w:t xml:space="preserve">rchical Bayesian modeling (HBM) resolves this tension by exploiting exactly the feature that app-based data provides—a large sample. HBM treats individual-level parameters as draws from group-level distributions (Rouder et al., 2005). This partial pooling </w:t>
      </w:r>
      <w:r>
        <w:t xml:space="preserve">shrinks extreme individual estimates toward the group mean, borrowing strength across the many participants to stabilize each person’s estimates. </w:t>
      </w:r>
      <w:r>
        <w:lastRenderedPageBreak/>
        <w:t>The advantage over MLE is greatest when trial counts are small and between-person variability is high—precisel</w:t>
      </w:r>
      <w:r>
        <w:t>y the conditions that characterize developmental samples collected via app-based platforms.</w:t>
      </w:r>
    </w:p>
    <w:p w14:paraId="59200EFA" w14:textId="77777777" w:rsidR="0031634C" w:rsidRDefault="00BD6BAD">
      <w:pPr>
        <w:pStyle w:val="a0"/>
      </w:pPr>
      <w:r>
        <w:t>HBM also provides a natural framework for propagating uncertainty. Rather than producing point estimates of distributional parameters, HBM returns full posterior di</w:t>
      </w:r>
      <w:r>
        <w:t xml:space="preserve">stributions that reflect estimation uncertainty at both the individual and group levels. Model fit can be evaluated through posterior predictive checks, which compare observed data features to the distribution of those features implied by the fitted model </w:t>
      </w:r>
      <w:r>
        <w:t>(Gelman et al., 2013). This approach is preferable to relying on summary fit indices that may mask systematic misfit in the tails of the distribution—where age-related differences are often largest.</w:t>
      </w:r>
    </w:p>
    <w:p w14:paraId="3DEB641D" w14:textId="77777777" w:rsidR="0031634C" w:rsidRDefault="00BD6BAD">
      <w:pPr>
        <w:pStyle w:val="3"/>
      </w:pPr>
      <w:bookmarkStart w:id="6" w:name="the-present-study"/>
      <w:bookmarkEnd w:id="5"/>
      <w:r>
        <w:t>The Present Study</w:t>
      </w:r>
    </w:p>
    <w:p w14:paraId="0A6C7778" w14:textId="77777777" w:rsidR="0031634C" w:rsidRDefault="00BD6BAD">
      <w:pPr>
        <w:pStyle w:val="FirstParagraph"/>
      </w:pPr>
      <w:r>
        <w:t>We fitted shifted Weibull distributions</w:t>
      </w:r>
      <w:r>
        <w:t xml:space="preserve"> via hierarchical Bayesian modeling to SRT data from 1,652 participants across five age groups: children aged 4–6 (</w:t>
      </w:r>
      <w:r>
        <w:rPr>
          <w:i/>
          <w:iCs/>
        </w:rPr>
        <w:t>n</w:t>
      </w:r>
      <w:r>
        <w:t xml:space="preserve"> = 108), 7–12 (</w:t>
      </w:r>
      <w:r>
        <w:rPr>
          <w:i/>
          <w:iCs/>
        </w:rPr>
        <w:t>n</w:t>
      </w:r>
      <w:r>
        <w:t xml:space="preserve"> = 117), and 13–17 (</w:t>
      </w:r>
      <w:r>
        <w:rPr>
          <w:i/>
          <w:iCs/>
        </w:rPr>
        <w:t>n</w:t>
      </w:r>
      <w:r>
        <w:t xml:space="preserve"> = 56), young adults aged 18–30 (</w:t>
      </w:r>
      <w:r>
        <w:rPr>
          <w:i/>
          <w:iCs/>
        </w:rPr>
        <w:t>n</w:t>
      </w:r>
      <w:r>
        <w:t xml:space="preserve"> = 1,299), and older adults aged 65 and above (</w:t>
      </w:r>
      <w:r>
        <w:rPr>
          <w:i/>
          <w:iCs/>
        </w:rPr>
        <w:t>n</w:t>
      </w:r>
      <w:r>
        <w:t xml:space="preserve"> = 72). MT was analyz</w:t>
      </w:r>
      <w:r>
        <w:t>ed in parallel as a methodological control. The large young adult sample serves as a stable reference for the mature perceptual-motor system. The design targets the developmental and aging limbs of the RT–age function rather than providing continuous cover</w:t>
      </w:r>
      <w:r>
        <w:t>age of the middle decades. Three research questions guided the analyses. First, do the three Weibull parameters form a coherent latent factor consistent with unitary processing speed, or do they remain empirically distinct? Second, do children and older ad</w:t>
      </w:r>
      <w:r>
        <w:t>ults show the same or different patterns of parametric deviation from young adults—and if different, which parameters carry the most age-related variance for SRT versus MT? Third, does the correlation structure among parameters change across age groups, as</w:t>
      </w:r>
      <w:r>
        <w:t xml:space="preserve"> predicted by the dedifferentiation hypothesis (Baltes &amp; Lindenberger, 1997; Li et al., 2004)?</w:t>
      </w:r>
    </w:p>
    <w:p w14:paraId="7E2FDC47" w14:textId="77777777" w:rsidR="0031634C" w:rsidRDefault="00BD6BAD">
      <w:pPr>
        <w:pStyle w:val="2"/>
      </w:pPr>
      <w:bookmarkStart w:id="7" w:name="method"/>
      <w:bookmarkEnd w:id="2"/>
      <w:bookmarkEnd w:id="6"/>
      <w:r>
        <w:t>Method</w:t>
      </w:r>
    </w:p>
    <w:p w14:paraId="0D229E03" w14:textId="77777777" w:rsidR="0031634C" w:rsidRDefault="00BD6BAD">
      <w:pPr>
        <w:pStyle w:val="3"/>
      </w:pPr>
      <w:bookmarkStart w:id="8" w:name="participants"/>
      <w:r>
        <w:t>Participants</w:t>
      </w:r>
    </w:p>
    <w:p w14:paraId="04148347" w14:textId="77777777" w:rsidR="0031634C" w:rsidRDefault="00BD6BAD">
      <w:pPr>
        <w:pStyle w:val="FirstParagraph"/>
      </w:pPr>
      <w:r>
        <w:t xml:space="preserve">The total sample comprised 1801 participants recruited from community </w:t>
      </w:r>
      <w:r>
        <w:t>and school settings, spanning a developmental and aging range from 4 to over 65 years. To enable precise modeling of developmental trajectories, the sample was stratified into 5 distinct cohorts: young children (4-6 years, N= 112), children (7-12 years, N=</w:t>
      </w:r>
      <w:r>
        <w:t>124), adolescents (13-17 years, N=66), elders (over 65 years, N=72), and an adult reference group (18-30 years, N=1427). The large adult sample serves as the stable baseline of mature perceptual-motor function.</w:t>
      </w:r>
    </w:p>
    <w:p w14:paraId="21FCF863" w14:textId="77777777" w:rsidR="0031634C" w:rsidRDefault="00BD6BAD">
      <w:pPr>
        <w:pStyle w:val="a0"/>
      </w:pPr>
      <w:r>
        <w:t>All participants possessed normal or correcte</w:t>
      </w:r>
      <w:r>
        <w:t>d-to-normal vision and reported no history of neurological or psychiatric disorders. The study protocol was reviewed and approved by the Social and Behavioral Research Ethical Principles and Regulations of National Taiwan University, Taiwan (202305EM073, 2</w:t>
      </w:r>
      <w:r>
        <w:t>02409EM029). Written informed consent was obtained from all adult participants. For underage participants the consent was provided by a parent or legal guardian alongside the participant’s own assent.</w:t>
      </w:r>
    </w:p>
    <w:p w14:paraId="00D1AD49" w14:textId="77777777" w:rsidR="0031634C" w:rsidRDefault="00BD6BAD">
      <w:pPr>
        <w:pStyle w:val="3"/>
      </w:pPr>
      <w:bookmarkStart w:id="9" w:name="task-and-procedure"/>
      <w:bookmarkEnd w:id="8"/>
      <w:r>
        <w:t>Task and Procedure</w:t>
      </w:r>
    </w:p>
    <w:p w14:paraId="06F1694B" w14:textId="77777777" w:rsidR="0031634C" w:rsidRDefault="00BD6BAD">
      <w:pPr>
        <w:pStyle w:val="FirstParagraph"/>
      </w:pPr>
      <w:r>
        <w:t>Participants performed a tablet-base</w:t>
      </w:r>
      <w:r>
        <w:t xml:space="preserve">d reaching task designed to dissociate motor initiation from execution (Figure 1). While the task is based on a simple reaction time (SRT) paradigm, it incorporates a reaching component to capture distinct temporal metrics. This task required participants </w:t>
      </w:r>
      <w:r>
        <w:t>to maintain contact with a designated circle using their non-dominant hand throughout the entire session. The task paused automatically if the non-dominant finger released. Each trial began by press and hold a red square (5*5 cm</w:t>
      </w:r>
      <w:r>
        <w:rPr>
          <w:vertAlign w:val="superscript"/>
        </w:rPr>
        <w:t>2</w:t>
      </w:r>
      <w:r>
        <w:t xml:space="preserve">) at the lower part of the </w:t>
      </w:r>
      <w:r>
        <w:t xml:space="preserve">screen using the dominant hand. They need to maintain contact to the red square otherwise the target would not appear. After a variable delay between 1000 and 3000 </w:t>
      </w:r>
      <w:r>
        <w:lastRenderedPageBreak/>
        <w:t>ms, a cyan target square appeared at a diagonal location. Participants then released the red</w:t>
      </w:r>
      <w:r>
        <w:t xml:space="preserve"> square and touched the target as quickly as possible.</w:t>
      </w:r>
    </w:p>
    <w:p w14:paraId="76611652" w14:textId="77777777" w:rsidR="0031634C" w:rsidRDefault="00BD6BAD">
      <w:pPr>
        <w:pStyle w:val="a0"/>
      </w:pPr>
      <w:r>
        <w:t xml:space="preserve">Each participant completed five practice trials and 20 formal trials. We recorded two temporal measures for each trial. Simple reaction time (SRT) represented the interval between target onset and the </w:t>
      </w:r>
      <w:r>
        <w:t>release of the red square. Movement time (MT) represented the interval between the release of the red square and the target touch.</w:t>
      </w:r>
    </w:p>
    <w:tbl>
      <w:tblPr>
        <w:tblStyle w:val="Table"/>
        <w:tblW w:w="4865" w:type="pct"/>
        <w:tblLook w:val="0020" w:firstRow="1" w:lastRow="0" w:firstColumn="0" w:lastColumn="0" w:noHBand="0" w:noVBand="0"/>
      </w:tblPr>
      <w:tblGrid>
        <w:gridCol w:w="10719"/>
      </w:tblGrid>
      <w:tr w:rsidR="0031634C" w14:paraId="3B0BBB71"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05A2365A" w14:textId="77777777" w:rsidR="0031634C" w:rsidRDefault="0031634C">
            <w:pPr>
              <w:pStyle w:val="Compact"/>
            </w:pPr>
          </w:p>
        </w:tc>
      </w:tr>
      <w:tr w:rsidR="0031634C" w14:paraId="676080C1" w14:textId="77777777">
        <w:tc>
          <w:tcPr>
            <w:tcW w:w="0" w:type="auto"/>
          </w:tcPr>
          <w:p w14:paraId="4C229FFD" w14:textId="77777777" w:rsidR="0031634C" w:rsidRDefault="00BD6BAD">
            <w:pPr>
              <w:pStyle w:val="Compact"/>
            </w:pPr>
            <w:r>
              <w:rPr>
                <w:b/>
                <w:bCs/>
              </w:rPr>
              <w:t>Figure 1. Schematic Illustration of the Visuomotor Reaching Task.</w:t>
            </w:r>
            <w:r>
              <w:t xml:space="preserve"> Participants maintained manual lateralization with the no</w:t>
            </w:r>
            <w:r>
              <w:t>n-dominant hand anchored at the screen's lower vertex to control for postural bias. Trial initiation required a continuous press on the fixation stimulus (red square; 5*5 cm</w:t>
            </w:r>
            <w:r>
              <w:rPr>
                <w:vertAlign w:val="superscript"/>
              </w:rPr>
              <w:t>2</w:t>
            </w:r>
            <w:r>
              <w:t xml:space="preserve">). Upon the stochastic onset of the target (cyan square), participants executed a </w:t>
            </w:r>
            <w:r>
              <w:t>rapid reaching movement. The simple reaction time (SRT) is defined as the latency between target onset and dominant finger release, and the interval between finger release and target reaching is the movement time (MT).</w:t>
            </w:r>
          </w:p>
        </w:tc>
      </w:tr>
    </w:tbl>
    <w:p w14:paraId="7C384FC4" w14:textId="77777777" w:rsidR="0031634C" w:rsidRDefault="00BD6BAD">
      <w:pPr>
        <w:pStyle w:val="3"/>
      </w:pPr>
      <w:bookmarkStart w:id="10" w:name="data-preparation"/>
      <w:bookmarkEnd w:id="9"/>
      <w:r>
        <w:t>Data Preparation</w:t>
      </w:r>
    </w:p>
    <w:p w14:paraId="17590260" w14:textId="77777777" w:rsidR="0031634C" w:rsidRDefault="00BD6BAD">
      <w:pPr>
        <w:pStyle w:val="FirstParagraph"/>
      </w:pPr>
      <w:r>
        <w:t>Outlier detection w</w:t>
      </w:r>
      <w:r>
        <w:t>as conducted using a log-transformed version of Tukey's fences. Because reaction time distributions are typically right-skewed, all SRT and MT data were first log-transformed to approximate normality. The interquartile range (IQR) was then calculated, with</w:t>
      </w:r>
      <w:r>
        <w:t xml:space="preserve"> outliers defined as values falling outside the fences</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IQR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IQR</m:t>
        </m:r>
        <m:r>
          <m:rPr>
            <m:sty m:val="p"/>
          </m:rPr>
          <w:rPr>
            <w:rFonts w:ascii="Cambria Math" w:hAnsi="Cambria Math"/>
          </w:rPr>
          <m:t>]</m:t>
        </m:r>
      </m:oMath>
      <w:r>
        <w:t xml:space="preserve">. Trials were excluded if either their SRT or MT was identified as an outlier. </w:t>
      </w:r>
      <w:r>
        <w:t>Additionally, trials with SRT below 150 ms were removed to eliminate anticipatory responses. Participants with fewer than 16 successful trials were excluded from analysis.</w:t>
      </w:r>
    </w:p>
    <w:p w14:paraId="4CBCCD34" w14:textId="77777777" w:rsidR="0031634C" w:rsidRDefault="00BD6BAD">
      <w:pPr>
        <w:pStyle w:val="3"/>
      </w:pPr>
      <w:bookmarkStart w:id="11" w:name="the-shifted-weibull-model"/>
      <w:bookmarkEnd w:id="10"/>
      <w:r>
        <w:t>The Shifted Weibull Model</w:t>
      </w:r>
    </w:p>
    <w:p w14:paraId="021923CE" w14:textId="77777777" w:rsidR="0031634C" w:rsidRDefault="00BD6BAD">
      <w:pPr>
        <w:pStyle w:val="FirstParagraph"/>
      </w:pPr>
      <w:r>
        <w:t>To characterize the underlying distributions of both SRT a</w:t>
      </w:r>
      <w:r>
        <w:t xml:space="preserve">nd MT, we modeled the trial-level data using a three-parameter shifted Weibull distribution (Logan, 1992; Rouder et al., 2005). For an individual observation </w:t>
      </w:r>
      <m:oMath>
        <m:r>
          <w:rPr>
            <w:rFonts w:ascii="Cambria Math" w:hAnsi="Cambria Math"/>
          </w:rPr>
          <m:t>x</m:t>
        </m:r>
      </m:oMath>
      <w:r>
        <w:t xml:space="preserve"> and a shifted Weibull model with parameters </w:t>
      </w: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λ</m:t>
            </m:r>
            <m:r>
              <m:rPr>
                <m:sty m:val="p"/>
              </m:rPr>
              <w:rPr>
                <w:rFonts w:ascii="Cambria Math" w:hAnsi="Cambria Math"/>
              </w:rPr>
              <m:t>,</m:t>
            </m:r>
            <m:r>
              <w:rPr>
                <w:rFonts w:ascii="Cambria Math" w:hAnsi="Cambria Math"/>
              </w:rPr>
              <m:t> </m:t>
            </m:r>
            <m:r>
              <w:rPr>
                <w:rFonts w:ascii="Cambria Math" w:hAnsi="Cambria Math"/>
              </w:rPr>
              <m:t>κ</m:t>
            </m:r>
          </m:e>
        </m:d>
      </m:oMath>
      <w:r>
        <w:t>, the probability density function is</w:t>
      </w:r>
      <w:r>
        <w:t xml:space="preserve"> defined as</w:t>
      </w:r>
    </w:p>
    <w:p w14:paraId="197F3622" w14:textId="77777777" w:rsidR="0031634C" w:rsidRDefault="00BD6BAD">
      <w:pPr>
        <w:pStyle w:val="a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θ</m:t>
              </m:r>
            </m:e>
          </m:d>
          <m:r>
            <m:rPr>
              <m:sty m:val="p"/>
            </m:rP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λ</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λ</m:t>
                      </m:r>
                    </m:den>
                  </m:f>
                </m:e>
              </m:d>
            </m:e>
            <m:sup>
              <m:r>
                <w:rPr>
                  <w:rFonts w:ascii="Cambria Math" w:hAnsi="Cambria Math"/>
                </w:rPr>
                <m:t>κ</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λ</m:t>
                          </m:r>
                        </m:den>
                      </m:f>
                    </m:e>
                  </m:d>
                </m:e>
                <m:sup>
                  <m:r>
                    <w:rPr>
                      <w:rFonts w:ascii="Cambria Math" w:hAnsi="Cambria Math"/>
                    </w:rPr>
                    <m:t>κ</m:t>
                  </m:r>
                </m:sup>
              </m:sSup>
            </m:sup>
          </m:sSup>
          <m:r>
            <m:rPr>
              <m:sty m:val="p"/>
            </m:rPr>
            <w:rPr>
              <w:rFonts w:ascii="Cambria Math" w:hAnsi="Cambria Math"/>
            </w:rPr>
            <m:t>,</m:t>
          </m:r>
          <m:r>
            <w:rPr>
              <w:rFonts w:ascii="Cambria Math" w:hAnsi="Cambria Math"/>
            </w:rPr>
            <m:t>    </m:t>
          </m:r>
          <m:r>
            <w:rPr>
              <w:rFonts w:ascii="Cambria Math" w:hAnsi="Cambria Math"/>
            </w:rPr>
            <m:t>x</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m:oMathPara>
    </w:p>
    <w:p w14:paraId="404C74D8" w14:textId="77777777" w:rsidR="0031634C" w:rsidRDefault="00BD6BAD">
      <w:pPr>
        <w:pStyle w:val="FirstParagraph"/>
      </w:pPr>
      <w:r>
        <w:t>The distribution is therefore described by the three parameters. The shift parameter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represents the leading edge of the distribution. It captures non-decision processes such as stimulus e</w:t>
      </w:r>
      <w:r>
        <w:t>ncoding or physical execution limits. The scale (</w:t>
      </w:r>
      <m:oMath>
        <m:r>
          <w:rPr>
            <w:rFonts w:ascii="Cambria Math" w:hAnsi="Cambria Math"/>
          </w:rPr>
          <m:t>λ</m:t>
        </m:r>
      </m:oMath>
      <w:r>
        <w:t>) parameter is a multiplicative factor that determines the dispersion of the distribution. It reflects the overall processing efficiency across trials for an individual. The shape (</w:t>
      </w:r>
      <m:oMath>
        <m:r>
          <w:rPr>
            <w:rFonts w:ascii="Cambria Math" w:hAnsi="Cambria Math"/>
          </w:rPr>
          <m:t>κ</m:t>
        </m:r>
      </m:oMath>
      <w:r>
        <w:t>) parameter measures t</w:t>
      </w:r>
      <w:r>
        <w:t>he skewness of the distribution. This value reflects how rapidly the probability of response completion increases over time within a trial.</w:t>
      </w:r>
    </w:p>
    <w:p w14:paraId="502B5FAE" w14:textId="77777777" w:rsidR="0031634C" w:rsidRDefault="00BD6BAD">
      <w:pPr>
        <w:pStyle w:val="3"/>
      </w:pPr>
      <w:bookmarkStart w:id="12" w:name="hierarchical-bayes-modeling-hbm"/>
      <w:bookmarkEnd w:id="11"/>
      <w:r>
        <w:t>Hierarchical Bayes Modeling (HBM)</w:t>
      </w:r>
    </w:p>
    <w:p w14:paraId="2B026E8E" w14:textId="77777777" w:rsidR="0031634C" w:rsidRDefault="00BD6BAD">
      <w:pPr>
        <w:pStyle w:val="FirstParagraph"/>
      </w:pPr>
      <w:r>
        <w:t>The Hierarchical Bayesian Model (HBM) is a statistical framework for the estimatio</w:t>
      </w:r>
      <w:r>
        <w:t>n and inference of response time distributions (Rouder et al., 2003, 2005). The framework consists of individual-level Weibull parameters which determine the RT distribution, with individual parameters sampled from underlying parent distributions described</w:t>
      </w:r>
      <w:r>
        <w:t xml:space="preserve"> by group-level hyperparameters. The two levels of parameters are jointly estimated, allowing information to be shared across participants within age groups. For participant </w:t>
      </w:r>
      <w:r>
        <w:rPr>
          <w:i/>
          <w:iCs/>
        </w:rPr>
        <w:t>i</w:t>
      </w:r>
      <w:r>
        <w:t xml:space="preserve"> in age group </w:t>
      </w:r>
      <w:r>
        <w:rPr>
          <w:i/>
          <w:iCs/>
        </w:rPr>
        <w:t>g</w:t>
      </w:r>
      <w:r>
        <w:t xml:space="preserve"> and trial </w:t>
      </w:r>
      <w:r>
        <w:rPr>
          <w:i/>
          <w:iCs/>
        </w:rPr>
        <w:t>j</w:t>
      </w:r>
      <w:r>
        <w:t>, RT was modeled as</w:t>
      </w:r>
    </w:p>
    <w:p w14:paraId="1757F6FC" w14:textId="77777777" w:rsidR="0031634C" w:rsidRDefault="00BD6BAD">
      <w:pPr>
        <w:pStyle w:val="a0"/>
      </w:pPr>
      <m:oMathPara>
        <m:oMathParaPr>
          <m:jc m:val="center"/>
        </m:oMathParaPr>
        <m:oMath>
          <m:sSub>
            <m:sSubPr>
              <m:ctrlPr>
                <w:rPr>
                  <w:rFonts w:ascii="Cambria Math" w:hAnsi="Cambria Math"/>
                </w:rPr>
              </m:ctrlPr>
            </m:sSubPr>
            <m:e>
              <m:r>
                <w:rPr>
                  <w:rFonts w:ascii="Cambria Math" w:hAnsi="Cambria Math"/>
                </w:rPr>
                <m:t>RT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r>
            <m:rPr>
              <m:sty m:val="p"/>
            </m:rPr>
            <w:rPr>
              <w:rFonts w:ascii="Cambria Math" w:hAnsi="Cambria Math"/>
            </w:rPr>
            <m:t>+</m:t>
          </m:r>
          <m:r>
            <w:rPr>
              <w:rFonts w:ascii="Cambria Math" w:hAnsi="Cambria Math"/>
            </w:rPr>
            <m:t>Weibull</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i</m:t>
                  </m:r>
                </m:sub>
              </m:sSub>
            </m:e>
          </m:d>
          <m:r>
            <m:rPr>
              <m:sty m:val="p"/>
            </m:rPr>
            <w:rPr>
              <w:rFonts w:ascii="Cambria Math" w:hAnsi="Cambria Math"/>
            </w:rPr>
            <m:t>,</m:t>
          </m:r>
        </m:oMath>
      </m:oMathPara>
    </w:p>
    <w:p w14:paraId="24AADA45" w14:textId="77777777" w:rsidR="0031634C" w:rsidRDefault="00BD6BAD">
      <w:pPr>
        <w:pStyle w:val="FirstParagraph"/>
      </w:pPr>
      <w:r>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oMath>
      <w:r>
        <w:t xml:space="preserve">≥ 0 represents the nondecision time component,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&gt; 0 is the scale parameter characterizing overall response latency, and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&gt; 0 is the shape parameter determining distributional skewness.</w:t>
      </w:r>
    </w:p>
    <w:p w14:paraId="49844FCC" w14:textId="77777777" w:rsidR="0031634C" w:rsidRDefault="00BD6BAD">
      <w:pPr>
        <w:pStyle w:val="a0"/>
      </w:pPr>
      <w:r>
        <w:t>Individual parameters (</w:t>
      </w:r>
      <m:oMath>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i</m:t>
            </m:r>
          </m:sub>
        </m:sSub>
      </m:oMath>
      <w:r>
        <w:t>) were</w:t>
      </w:r>
      <w:r>
        <w:t xml:space="preserve"> estimated with Markov chain Monte Carlo (MCMC) inference following literature (Gelman et al., 1995; Rouder et al., 2003). The posterior distribution of individual parameters was obtained by combining the likelihood of observed RT data with age-group-speci</w:t>
      </w:r>
      <w:r>
        <w:t>fic hierarchical priors:</w:t>
      </w:r>
      <w:r>
        <w:br/>
      </w:r>
    </w:p>
    <w:p w14:paraId="73F630EE" w14:textId="77777777" w:rsidR="0031634C" w:rsidRDefault="00BD6BAD">
      <w:pPr>
        <w:pStyle w:val="a0"/>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i</m:t>
                  </m:r>
                </m:sub>
              </m:sSub>
            </m:e>
            <m:e>
              <m:sSub>
                <m:sSubPr>
                  <m:ctrlPr>
                    <w:rPr>
                      <w:rFonts w:ascii="Cambria Math" w:hAnsi="Cambria Math"/>
                    </w:rPr>
                  </m:ctrlPr>
                </m:sSubPr>
                <m:e>
                  <m:r>
                    <w:rPr>
                      <w:rFonts w:ascii="Cambria Math" w:hAnsi="Cambria Math"/>
                    </w:rPr>
                    <m:t>RT</m:t>
                  </m:r>
                </m:e>
                <m:sub>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h</m:t>
              </m:r>
              <m:r>
                <w:rPr>
                  <w:rFonts w:ascii="Cambria Math" w:hAnsi="Cambria Math"/>
                </w:rPr>
                <m:t>yperparameter</m:t>
              </m:r>
              <m:r>
                <m:rPr>
                  <m:sty m:val="p"/>
                </m:rPr>
                <w:rPr>
                  <w:rFonts w:ascii="Cambria Math" w:hAnsi="Cambria Math"/>
                </w:rPr>
                <m:t>[</m:t>
              </m:r>
              <m:r>
                <w:rPr>
                  <w:rFonts w:ascii="Cambria Math" w:hAnsi="Cambria Math"/>
                </w:rPr>
                <m:t>g</m:t>
              </m:r>
              <m:r>
                <m:rPr>
                  <m:sty m:val="p"/>
                </m:rPr>
                <w:rPr>
                  <w:rFonts w:ascii="Cambria Math" w:hAnsi="Cambria Math"/>
                </w:rPr>
                <m:t>]</m:t>
              </m:r>
            </m:e>
          </m:d>
          <m:r>
            <m:rPr>
              <m:sty m:val="p"/>
            </m:rPr>
            <w:rPr>
              <w:rFonts w:ascii="Cambria Math" w:hAnsi="Cambria Math"/>
            </w:rPr>
            <m:t>∝</m:t>
          </m:r>
          <m:r>
            <w:rPr>
              <w:rFonts w:ascii="Cambria Math" w:hAnsi="Cambria Math"/>
            </w:rPr>
            <m:t>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RT</m:t>
                  </m:r>
                </m:e>
                <m:sub>
                  <m:r>
                    <w:rPr>
                      <w:rFonts w:ascii="Cambria Math" w:hAnsi="Cambria Math"/>
                    </w:rPr>
                    <m:t>i</m:t>
                  </m:r>
                  <m:r>
                    <m:rPr>
                      <m:sty m:val="p"/>
                    </m:rPr>
                    <w:rPr>
                      <w:rFonts w:ascii="Cambria Math" w:hAnsi="Cambria Math"/>
                    </w:rPr>
                    <m:t>•</m:t>
                  </m:r>
                </m:sub>
              </m:sSub>
            </m:e>
            <m:e>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i</m:t>
                  </m:r>
                </m:sub>
              </m:sSub>
            </m:e>
            <m:e>
              <m:r>
                <w:rPr>
                  <w:rFonts w:ascii="Cambria Math" w:hAnsi="Cambria Math"/>
                </w:rPr>
                <m:t>h</m:t>
              </m:r>
              <m:r>
                <w:rPr>
                  <w:rFonts w:ascii="Cambria Math" w:hAnsi="Cambria Math"/>
                </w:rPr>
                <m:t>yperparameter</m:t>
              </m:r>
              <m:r>
                <m:rPr>
                  <m:sty m:val="p"/>
                </m:rPr>
                <w:rPr>
                  <w:rFonts w:ascii="Cambria Math" w:hAnsi="Cambria Math"/>
                </w:rPr>
                <m:t>[</m:t>
              </m:r>
              <m:r>
                <w:rPr>
                  <w:rFonts w:ascii="Cambria Math" w:hAnsi="Cambria Math"/>
                </w:rPr>
                <m:t>g</m:t>
              </m:r>
              <m:r>
                <m:rPr>
                  <m:sty m:val="p"/>
                </m:rPr>
                <w:rPr>
                  <w:rFonts w:ascii="Cambria Math" w:hAnsi="Cambria Math"/>
                </w:rPr>
                <m:t>]</m:t>
              </m:r>
            </m:e>
          </m:d>
          <m:r>
            <m:rPr>
              <m:sty m:val="p"/>
            </m:rPr>
            <w:rPr>
              <w:rFonts w:ascii="Cambria Math" w:hAnsi="Cambria Math"/>
            </w:rPr>
            <m:t>,</m:t>
          </m:r>
        </m:oMath>
      </m:oMathPara>
    </w:p>
    <w:p w14:paraId="46C002E9" w14:textId="77777777" w:rsidR="0031634C" w:rsidRDefault="00BD6BAD">
      <w:pPr>
        <w:pStyle w:val="FirstParagraph"/>
      </w:pPr>
      <w:r>
        <w:t xml:space="preserve">where </w:t>
      </w:r>
      <m:oMath>
        <m:sSub>
          <m:sSubPr>
            <m:ctrlPr>
              <w:rPr>
                <w:rFonts w:ascii="Cambria Math" w:hAnsi="Cambria Math"/>
              </w:rPr>
            </m:ctrlPr>
          </m:sSubPr>
          <m:e>
            <m:r>
              <w:rPr>
                <w:rFonts w:ascii="Cambria Math" w:hAnsi="Cambria Math"/>
              </w:rPr>
              <m:t>RT</m:t>
            </m:r>
          </m:e>
          <m:sub>
            <m:r>
              <w:rPr>
                <w:rFonts w:ascii="Cambria Math" w:hAnsi="Cambria Math"/>
              </w:rPr>
              <m:t>i</m:t>
            </m:r>
            <m:r>
              <m:rPr>
                <m:sty m:val="p"/>
              </m:rPr>
              <w:rPr>
                <w:rFonts w:ascii="Cambria Math" w:hAnsi="Cambria Math"/>
              </w:rPr>
              <m:t>•</m:t>
            </m:r>
          </m:sub>
        </m:sSub>
      </m:oMath>
      <w:r>
        <w:t xml:space="preserve"> denotes all observed trials for subject </w:t>
      </w:r>
      <w:r>
        <w:rPr>
          <w:i/>
          <w:iCs/>
        </w:rPr>
        <w:t>i</w:t>
      </w:r>
      <w:r>
        <w:t xml:space="preserve">. </w:t>
      </w:r>
      <w:r>
        <w:t>Hierarchical priors were defined as: t₀</w:t>
      </w:r>
      <w:r>
        <w:t>ᵢ</w:t>
      </w:r>
      <w:r>
        <w:t xml:space="preserve"> ~ Uniform(0, min(RT</w:t>
      </w:r>
      <w:r>
        <w:t>ᵢ</w:t>
      </w:r>
      <w:r>
        <w:t>.)), λ</w:t>
      </w:r>
      <w:r>
        <w:t>ᵢ</w:t>
      </w:r>
      <w:r>
        <w:t>⁻</w:t>
      </w:r>
      <w:r>
        <w:t>¹ ~ Gamma(ξ₁[g], ξ₂[g]), and κ</w:t>
      </w:r>
      <w:r>
        <w:t>ᵢ</w:t>
      </w:r>
      <w:r>
        <w:t xml:space="preserve"> ~ Gamma(η₁[g], η₂[g]), where group-level hyperparameters (ξ₁, ξ₂, η₁, η₂) were estimated from data with weakly informative hyperpriors (</w:t>
      </w:r>
      <w:r>
        <w:rPr>
          <w:i/>
          <w:iCs/>
        </w:rPr>
        <w:t>c.f.</w:t>
      </w:r>
      <w:r>
        <w:t>, Rouder et al.</w:t>
      </w:r>
      <w:r>
        <w:t>, 2003). This hierarchical structure induces adaptive shrinkage, whereby individual parameter estimates represent a principled compromise between subject-specific data and learned group structure, with the degree of shrinkage determined by the relative pre</w:t>
      </w:r>
      <w:r>
        <w:t>cision of individual data (proportional to the number of trials per subject) versus group-level information (proportional to the square root of group sample size).</w:t>
      </w:r>
    </w:p>
    <w:p w14:paraId="4F3C8693" w14:textId="77777777" w:rsidR="0031634C" w:rsidRDefault="00BD6BAD">
      <w:pPr>
        <w:pStyle w:val="3"/>
      </w:pPr>
      <w:bookmarkStart w:id="13" w:name="model-evaluation"/>
      <w:bookmarkEnd w:id="12"/>
      <w:r>
        <w:t>Model Evaluation</w:t>
      </w:r>
    </w:p>
    <w:p w14:paraId="60039EC0" w14:textId="77777777" w:rsidR="0031634C" w:rsidRDefault="00BD6BAD">
      <w:pPr>
        <w:pStyle w:val="FirstParagraph"/>
      </w:pPr>
      <w:r>
        <w:t>To address convergence challenges arising from highly imbalanced group size</w:t>
      </w:r>
      <w:r>
        <w:t>s, we implemented group-size scaling of hyperprior variances, preventing over-shrinkage in larger groups while maintaining appropriate regularization in smaller groups. Posterior distributions were sampled using Gibbs sampling with Metropolis-Hastings step</w:t>
      </w:r>
      <w:r>
        <w:t xml:space="preserve">s for non-conjugate updates (Carlin et al., 1992; Carter &amp; Kohn, 1994). Four independent MCMC chains with overdispersed initialization, each with 50,000 iterations including a 20,000-iteration burn-in period, and retained every 5th sample (thinning factor </w:t>
      </w:r>
      <w:r>
        <w:t>= 5), yielding 24,000 posterior samples (6,000 per chain) for each parameter. Convergence was evaluated based on the Gelman–Rubin statistic being less than 1.1 and an effective sample size exceeding 100 (Gelman &amp; Rubin, 1992; Kruschke, 2014, 2018). Individ</w:t>
      </w:r>
      <w:r>
        <w:t>ual parameter estimates were summarized as posterior medians, with uncertainty quantified by 95% credible intervals. Full details of the sampling procedure, including optimization strategies and convergence diagnostics, are provided in the supplementary in</w:t>
      </w:r>
      <w:r>
        <w:t>formation.</w:t>
      </w:r>
    </w:p>
    <w:p w14:paraId="05EE146E" w14:textId="77777777" w:rsidR="0031634C" w:rsidRDefault="00BD6BAD">
      <w:pPr>
        <w:pStyle w:val="a0"/>
      </w:pPr>
      <w:r>
        <w:t xml:space="preserve">Model adequacy was assessed at two levels. At the chain level, convergence was evaluated using the Gelman–Rubin </w:t>
      </w:r>
      <w:r>
        <w:rPr>
          <w:i/>
          <w:iCs/>
        </w:rPr>
        <w:t>R̂</w:t>
      </w:r>
      <w:r>
        <w:t xml:space="preserve"> statistic (Gelman &amp; Rubin, 1992), with </w:t>
      </w:r>
      <w:r>
        <w:rPr>
          <w:i/>
          <w:iCs/>
        </w:rPr>
        <w:t>R̂</w:t>
      </w:r>
      <w:r>
        <w:t xml:space="preserve"> &lt; 1.10 as the convergence criterion (Gelman et al., 2013), and the effective sample size</w:t>
      </w:r>
      <w:r>
        <w:t xml:space="preserve"> (ESS), with ESS &gt; 100 as the minimum for reliable posterior inference (Kruschke, 2014). Both criteria were computed for every individual-level parameter across four independent chains.</w:t>
      </w:r>
    </w:p>
    <w:p w14:paraId="199269EC" w14:textId="77777777" w:rsidR="0031634C" w:rsidRDefault="00BD6BAD">
      <w:pPr>
        <w:pStyle w:val="a0"/>
      </w:pPr>
      <w:r>
        <w:t>At the individual level, goodness of fit was assessed using four compl</w:t>
      </w:r>
      <w:r>
        <w:t xml:space="preserve">ementary metrics, each applied separately for SRT and MT. First, the root mean squared error (RMSE) between 19 model-implied quantiles (5th–95th percentile) and the corresponding empirical quantiles provided a scale-interpretable measure of distributional </w:t>
      </w:r>
      <w:r>
        <w:t>misfit in milliseconds. Second, the mean absolute percentage error (MAPE) normalized this discrepancy by RT magnitude, enabling fair comparison across age groups whose absolute RTs differ substantially. Third, 90% prediction interval coverage quantified wh</w:t>
      </w:r>
      <w:r>
        <w:t xml:space="preserve">ether the model’s posterior uncertainty was well calibrated (nominal target: .90). Fourth, Bayesian posterior predictive </w:t>
      </w:r>
      <w:r>
        <w:rPr>
          <w:i/>
          <w:iCs/>
        </w:rPr>
        <w:t>p</w:t>
      </w:r>
      <w:r>
        <w:t>-values (Gelman et al., 2013) from 200 replicated datasets targeted two diagnostics: the minimum RT (</w:t>
      </w:r>
      <w:r>
        <w:rPr>
          <w:i/>
          <w:iCs/>
        </w:rPr>
        <w:t>T</w:t>
      </w:r>
      <w:r>
        <w:t>_min; testing shift parameter ca</w:t>
      </w:r>
      <w:r>
        <w:t>libration) and the standard deviation (</w:t>
      </w:r>
      <w:r>
        <w:rPr>
          <w:i/>
          <w:iCs/>
        </w:rPr>
        <w:t>T</w:t>
      </w:r>
      <w:r>
        <w:t>_sd; testing whether the model captures trial-to-trial variability). Values near .50 indicate adequate calibration; extreme values (&lt; .05 or &gt; .95) indicate systematic misfit. Full diagnostics by parameter and age gr</w:t>
      </w:r>
      <w:r>
        <w:t>oup are provided in the Supplementary Materials.</w:t>
      </w:r>
    </w:p>
    <w:p w14:paraId="20F651C9" w14:textId="77777777" w:rsidR="0031634C" w:rsidRDefault="00BD6BAD">
      <w:pPr>
        <w:pStyle w:val="3"/>
      </w:pPr>
      <w:bookmarkStart w:id="14" w:name="X4eebad50018a95a2c752d0c70ce5ce4a814fc76"/>
      <w:bookmarkEnd w:id="13"/>
      <w:r>
        <w:lastRenderedPageBreak/>
        <w:t>Analytic Strategy for Parameter-Level Inference</w:t>
      </w:r>
    </w:p>
    <w:p w14:paraId="24AC57B3" w14:textId="77777777" w:rsidR="0031634C" w:rsidRDefault="00BD6BAD">
      <w:pPr>
        <w:pStyle w:val="FirstParagraph"/>
      </w:pPr>
      <w:r>
        <w:t>Following model validation, the six posterior-mean parameter estimates per participant were submitted to a three-step analytic sequence designed to determine t</w:t>
      </w:r>
      <w:r>
        <w:t>he appropriate unit of analysis for developmental comparisons.</w:t>
      </w:r>
    </w:p>
    <w:p w14:paraId="02AD330A" w14:textId="77777777" w:rsidR="0031634C" w:rsidRDefault="00BD6BAD">
      <w:pPr>
        <w:pStyle w:val="a0"/>
      </w:pPr>
      <w:r>
        <w:t>In Step 1 (correlation analysis), pairwise associations among the six parameters were examined to characterize the covariance structure and identify whether parameters organize primarily by typ</w:t>
      </w:r>
      <w:r>
        <w:t>e (shift, scale, shape across both DVs) or by measure (SRT vs. MT). Two correlation matrices were computed: overall Pearson correlations across the full sample (</w:t>
      </w:r>
      <w:r>
        <w:rPr>
          <w:i/>
          <w:iCs/>
        </w:rPr>
        <w:t>N</w:t>
      </w:r>
      <w:r>
        <w:t xml:space="preserve"> = 1,652; age-confounded) and partial correlations controlling for continuous age. The partial</w:t>
      </w:r>
      <w:r>
        <w:t xml:space="preserve"> matrix was the primary interpretive target because it isolates parameter-intrinsic covariance from the developmental confound that inflates associations when age groups with different mean levels are combined. Homogeneity of within-group correlation matri</w:t>
      </w:r>
      <w:r>
        <w:t xml:space="preserve">ces was tested with Box’s </w:t>
      </w:r>
      <w:r>
        <w:rPr>
          <w:i/>
          <w:iCs/>
        </w:rPr>
        <w:t>M</w:t>
      </w:r>
      <w:r>
        <w:t xml:space="preserve"> test (Box, 1949), though the test’s well-documented sensitivity to large samples (Tabachnick &amp; Fidell, 2013) was considered in interpretation. Effect sizes followed Cohen (1988): </w:t>
      </w:r>
      <w:r>
        <w:rPr>
          <w:i/>
          <w:iCs/>
        </w:rPr>
        <w:t>r</w:t>
      </w:r>
      <w:r>
        <w:t xml:space="preserve"> &lt; .10 negligible, .10–.29 small, .30–.49 modera</w:t>
      </w:r>
      <w:r>
        <w:t>te, ≥ .50 large.</w:t>
      </w:r>
    </w:p>
    <w:p w14:paraId="498BC546" w14:textId="77777777" w:rsidR="0031634C" w:rsidRDefault="00BD6BAD">
      <w:pPr>
        <w:pStyle w:val="a0"/>
      </w:pPr>
      <w:r>
        <w:t>The modest partial correlations anticipated among the six parameters, together with their theoretically grounded mapping onto distinct processing stages (Rouder et al., 2005)—peripheral latency (</w:t>
      </w:r>
      <w:r>
        <w:rPr>
          <w:i/>
          <w:iCs/>
        </w:rPr>
        <w:t>t</w:t>
      </w:r>
      <w:r>
        <w:t>₀</w:t>
      </w:r>
      <w:r>
        <w:t xml:space="preserve">), central processing efficiency (λ), and </w:t>
      </w:r>
      <w:r>
        <w:t>trial-to-trial regularity (κ)—support analyzing the parameters individually rather than as composites. The justification for this decision is evaluated empirically in the Results through the comparison of overall, partial, and pooled within-group correlati</w:t>
      </w:r>
      <w:r>
        <w:t>on matrices, which directly test whether inter-parameter associations reflect stable individual-differences dimensions or are artifacts of age-related mean differences. If the pooled within-group correlations are weak, the parameters can be treated as capt</w:t>
      </w:r>
      <w:r>
        <w:t>uring distinct processing dimensions without requiring formal factor-analytic reduction.</w:t>
      </w:r>
    </w:p>
    <w:p w14:paraId="121BE294" w14:textId="77777777" w:rsidR="0031634C" w:rsidRDefault="00BD6BAD">
      <w:pPr>
        <w:pStyle w:val="a0"/>
      </w:pPr>
      <w:r>
        <w:t>In Step 2 (age-group comparison), each of the six posterior-mean parameters was compared across the five age groups. Given the substantial group size imbalance (</w:t>
      </w:r>
      <w:r>
        <w:rPr>
          <w:i/>
          <w:iCs/>
        </w:rPr>
        <w:t>n</w:t>
      </w:r>
      <w:r>
        <w:t xml:space="preserve"> rang</w:t>
      </w:r>
      <w:r>
        <w:t>ing from 56 to 1,297), Welch’s ANOVA was used for omnibus tests, which does not assume equal variances (Welch, 1951). Effect sizes were quantified as eta-squared (η²), with values of .01, .06, and .14 corresponding to small, medium, and large effects (Cohe</w:t>
      </w:r>
      <w:r>
        <w:t xml:space="preserve">n, 1988). The Kruskal–Wallis </w:t>
      </w:r>
      <w:r>
        <w:rPr>
          <w:i/>
          <w:iCs/>
        </w:rPr>
        <w:t>H</w:t>
      </w:r>
      <w:r>
        <w:t xml:space="preserve"> test was computed as a nonparametric robustness check. Where omnibus tests were significant, pairwise post-hoc comparisons used the Games–Howell procedure, which accommodates unequal variances and sample sizes (Games &amp; Howell</w:t>
      </w:r>
      <w:r>
        <w:t xml:space="preserve">, 1976). Standardized mean differences (Cohen’s </w:t>
      </w:r>
      <w:r>
        <w:rPr>
          <w:i/>
          <w:iCs/>
        </w:rPr>
        <w:t>d</w:t>
      </w:r>
      <w:r>
        <w:t>) were computed for each pairwise comparison. Separate analyses were conducted for SRT and MT parameters; a significance threshold of α = .05 was applied throughout without familywise correction across the s</w:t>
      </w:r>
      <w:r>
        <w:t>ix parameters, as these represent theoretically distinct constructs (Rothman, 1990).</w:t>
      </w:r>
    </w:p>
    <w:p w14:paraId="52D01192" w14:textId="77777777" w:rsidR="0031634C" w:rsidRDefault="00BD6BAD">
      <w:pPr>
        <w:pStyle w:val="a0"/>
      </w:pPr>
      <w:r>
        <w:t>The pattern of post-hoc comparisons was evaluated against two theoretical benchmarks. First, if the proportional slowing hypothesis holds, all three parameters should foll</w:t>
      </w:r>
      <w:r>
        <w:t xml:space="preserve">ow the same developmental ordering across age groups. Departures—for example, children showing elevated λ but adult-like </w:t>
      </w:r>
      <w:r>
        <w:rPr>
          <w:i/>
          <w:iCs/>
        </w:rPr>
        <w:t>t</w:t>
      </w:r>
      <w:r>
        <w:t>₀—</w:t>
      </w:r>
      <w:r>
        <w:t>would indicate that slowing is not unitary. Second, if children and older adults deviate from young adults via different parameters,</w:t>
      </w:r>
      <w:r>
        <w:t xml:space="preserve"> this would provide direct evidence for dissociable routes of RT slowing, extending drift-diffusion model findings from choice RT (Ratcliff et al., 2012) to the SRT domain.</w:t>
      </w:r>
    </w:p>
    <w:p w14:paraId="133EE4A9" w14:textId="77777777" w:rsidR="0031634C" w:rsidRDefault="00BD6BAD">
      <w:pPr>
        <w:pStyle w:val="2"/>
      </w:pPr>
      <w:bookmarkStart w:id="15" w:name="results"/>
      <w:bookmarkEnd w:id="7"/>
      <w:bookmarkEnd w:id="14"/>
      <w:r>
        <w:t>Results</w:t>
      </w:r>
    </w:p>
    <w:p w14:paraId="6ED6D9F8" w14:textId="77777777" w:rsidR="0031634C" w:rsidRDefault="00BD6BAD">
      <w:pPr>
        <w:pStyle w:val="3"/>
      </w:pPr>
      <w:bookmarkStart w:id="16" w:name="summary-statistics"/>
      <w:r>
        <w:t>Summary Statistics</w:t>
      </w:r>
    </w:p>
    <w:p w14:paraId="4374F03C" w14:textId="77777777" w:rsidR="0031634C" w:rsidRDefault="00BD6BAD">
      <w:pPr>
        <w:pStyle w:val="FirstParagraph"/>
      </w:pPr>
      <w:r>
        <w:t>The final analytic sample comprised 1,652 participants a</w:t>
      </w:r>
      <w:r>
        <w:t xml:space="preserve">fter exclusion of those with fewer than 16 valid trials. Table 1 presents the demographic and behavioral descriptive statistics by age group. Young children (4–6 years, </w:t>
      </w:r>
      <w:r>
        <w:rPr>
          <w:i/>
          <w:iCs/>
        </w:rPr>
        <w:t>n</w:t>
      </w:r>
      <w:r>
        <w:t xml:space="preserve"> = 108) were predominantly male (65/43) with a mean age of 5.4 years (</w:t>
      </w:r>
      <w:r>
        <w:rPr>
          <w:i/>
          <w:iCs/>
        </w:rPr>
        <w:t>SD</w:t>
      </w:r>
      <w:r>
        <w:t xml:space="preserve"> = 0.8). </w:t>
      </w:r>
      <w:r>
        <w:lastRenderedPageBreak/>
        <w:t>The 7</w:t>
      </w:r>
      <w:r>
        <w:t>–12-year-old group (</w:t>
      </w:r>
      <w:r>
        <w:rPr>
          <w:i/>
          <w:iCs/>
        </w:rPr>
        <w:t>n</w:t>
      </w:r>
      <w:r>
        <w:t xml:space="preserve"> = 117) had the highest male-to-female ratio (94/23), while the elder group (&gt; 65, </w:t>
      </w:r>
      <w:r>
        <w:rPr>
          <w:i/>
          <w:iCs/>
        </w:rPr>
        <w:t>n</w:t>
      </w:r>
      <w:r>
        <w:t xml:space="preserve"> </w:t>
      </w:r>
      <w:r>
        <w:t>= 72) was predominantly female (27/45). Mean remaining trials after outlier exclusion ranged from 17.8 (adolescents) to 18.6 (elders), indicating that most participants retained nearly all 20 formal trials.</w:t>
      </w:r>
    </w:p>
    <w:p w14:paraId="7831126C" w14:textId="77777777" w:rsidR="0031634C" w:rsidRDefault="00BD6BAD">
      <w:pPr>
        <w:pStyle w:val="a0"/>
      </w:pPr>
      <w:r>
        <w:t>Median SRT decreased monotonically from the young</w:t>
      </w:r>
      <w:r>
        <w:t>est children (610.5 ms) through adolescents (396.9 ms) and adults (363.9 ms), then increased sharply in older adults (529.3 ms), consistent with the well-established U-shaped developmental–aging pattern (Figure 2). Within-subject variability, indexed by th</w:t>
      </w:r>
      <w:r>
        <w:t>e interquartile range, followed a parallel pattern: IQR was largest in the youngest children (163.4 ms) and older adults (144.6 ms), and smallest in adolescents (37.1 ms). MT showed a qualitatively similar U-shaped pattern but with greater absolute magnitu</w:t>
      </w:r>
      <w:r>
        <w:t>de and wider dispersion, particularly in the youngest children (median = 618.1 ms, IQR = 444.0 ms) and older adults (median = 562.4 ms, IQR = 285.2 ms). The adult group showed comparable median MT (271.0 ms) to adolescents (269.7 ms), but with wider IQR (8</w:t>
      </w:r>
      <w:r>
        <w:t>0.2 vs. 49.8 ms), suggesting greater individual differences in motor execution among adults despite similar central tendency. Outlier rates were modest across groups (mean 6.8–10.9% of trials), with adolescents showing the highest rate (10.9%), possibly re</w:t>
      </w:r>
      <w:r>
        <w:t>flecting motivational variability in this age group.</w:t>
      </w:r>
    </w:p>
    <w:tbl>
      <w:tblPr>
        <w:tblStyle w:val="Table"/>
        <w:tblW w:w="4865" w:type="pct"/>
        <w:tblLook w:val="0020" w:firstRow="1" w:lastRow="0" w:firstColumn="0" w:lastColumn="0" w:noHBand="0" w:noVBand="0"/>
      </w:tblPr>
      <w:tblGrid>
        <w:gridCol w:w="10719"/>
      </w:tblGrid>
      <w:tr w:rsidR="0031634C" w14:paraId="502F7342"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0D9CB744" w14:textId="77777777" w:rsidR="0031634C" w:rsidRDefault="00BD6BAD">
            <w:pPr>
              <w:pStyle w:val="Compact"/>
            </w:pPr>
            <w:r>
              <w:rPr>
                <w:noProof/>
              </w:rPr>
              <w:drawing>
                <wp:inline distT="0" distB="0" distL="0" distR="0" wp14:anchorId="0337317A" wp14:editId="7771CCEA">
                  <wp:extent cx="5334000" cy="2209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media/halfviolin_by_agegroup_new.png"/>
                          <pic:cNvPicPr>
                            <a:picLocks noChangeAspect="1" noChangeArrowheads="1"/>
                          </pic:cNvPicPr>
                        </pic:nvPicPr>
                        <pic:blipFill>
                          <a:blip r:embed="rId7"/>
                          <a:stretch>
                            <a:fillRect/>
                          </a:stretch>
                        </pic:blipFill>
                        <pic:spPr bwMode="auto">
                          <a:xfrm>
                            <a:off x="0" y="0"/>
                            <a:ext cx="5334000" cy="2209800"/>
                          </a:xfrm>
                          <a:prstGeom prst="rect">
                            <a:avLst/>
                          </a:prstGeom>
                          <a:noFill/>
                          <a:ln w="9525">
                            <a:noFill/>
                            <a:headEnd/>
                            <a:tailEnd/>
                          </a:ln>
                        </pic:spPr>
                      </pic:pic>
                    </a:graphicData>
                  </a:graphic>
                </wp:inline>
              </w:drawing>
            </w:r>
          </w:p>
        </w:tc>
      </w:tr>
      <w:tr w:rsidR="0031634C" w14:paraId="1F5418B1" w14:textId="77777777">
        <w:tc>
          <w:tcPr>
            <w:tcW w:w="0" w:type="auto"/>
          </w:tcPr>
          <w:p w14:paraId="476596B9" w14:textId="77777777" w:rsidR="0031634C" w:rsidRDefault="00BD6BAD">
            <w:pPr>
              <w:pStyle w:val="Compact"/>
            </w:pPr>
            <w:r>
              <w:rPr>
                <w:b/>
                <w:bCs/>
              </w:rPr>
              <w:t>Figure 2. Distribution of subject-level median response times by age group.</w:t>
            </w:r>
            <w:r>
              <w:t xml:space="preserve"> Left panel: Simple reaction time (SRT). Right panel: Movement time (MT). Half-violin plots display the kernel density estima</w:t>
            </w:r>
            <w:r>
              <w:t>te of subject-level medians alongside box plots showing the median, interquartile range, and whiskers (1.5 × IQR). Individual data points are jittered horizontally. Both measures show the expected U-shaped developmental–aging pattern, with the youngest chi</w:t>
            </w:r>
            <w:r>
              <w:t>ldren and older adults showing elevated and more variable response times compared to adolescents and young adults.</w:t>
            </w:r>
          </w:p>
        </w:tc>
      </w:tr>
    </w:tbl>
    <w:p w14:paraId="7843FDD6" w14:textId="77777777" w:rsidR="0031634C" w:rsidRDefault="00BD6BAD">
      <w:pPr>
        <w:pStyle w:val="a0"/>
      </w:pPr>
      <w:r>
        <w:rPr>
          <w:b/>
          <w:bCs/>
        </w:rPr>
        <w:t>Table 1.</w:t>
      </w:r>
      <w:r>
        <w:t xml:space="preserve"> </w:t>
      </w:r>
      <w:r>
        <w:rPr>
          <w:i/>
          <w:iCs/>
        </w:rPr>
        <w:t>Demographics and Descriptive Statistics by Age Group</w:t>
      </w:r>
    </w:p>
    <w:tbl>
      <w:tblPr>
        <w:tblStyle w:val="Table"/>
        <w:tblW w:w="5000" w:type="pct"/>
        <w:tblLook w:val="0020" w:firstRow="1" w:lastRow="0" w:firstColumn="0" w:lastColumn="0" w:noHBand="0" w:noVBand="0"/>
      </w:tblPr>
      <w:tblGrid>
        <w:gridCol w:w="2347"/>
        <w:gridCol w:w="797"/>
        <w:gridCol w:w="1674"/>
        <w:gridCol w:w="1110"/>
        <w:gridCol w:w="1315"/>
        <w:gridCol w:w="1909"/>
        <w:gridCol w:w="1864"/>
      </w:tblGrid>
      <w:tr w:rsidR="0031634C" w14:paraId="5CC26763"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636DFC24" w14:textId="77777777" w:rsidR="0031634C" w:rsidRDefault="00BD6BAD">
            <w:pPr>
              <w:pStyle w:val="Compact"/>
            </w:pPr>
            <w:r>
              <w:rPr>
                <w:b/>
                <w:bCs/>
              </w:rPr>
              <w:t>Age Group</w:t>
            </w:r>
          </w:p>
        </w:tc>
        <w:tc>
          <w:tcPr>
            <w:tcW w:w="0" w:type="auto"/>
          </w:tcPr>
          <w:p w14:paraId="0D6EE598" w14:textId="77777777" w:rsidR="0031634C" w:rsidRDefault="00BD6BAD">
            <w:pPr>
              <w:pStyle w:val="Compact"/>
            </w:pPr>
            <w:r>
              <w:rPr>
                <w:b/>
                <w:bCs/>
                <w:i/>
                <w:iCs/>
              </w:rPr>
              <w:t>N</w:t>
            </w:r>
          </w:p>
        </w:tc>
        <w:tc>
          <w:tcPr>
            <w:tcW w:w="0" w:type="auto"/>
          </w:tcPr>
          <w:p w14:paraId="726ABD00" w14:textId="77777777" w:rsidR="0031634C" w:rsidRDefault="00BD6BAD">
            <w:pPr>
              <w:pStyle w:val="Compact"/>
            </w:pPr>
            <w:r>
              <w:rPr>
                <w:b/>
                <w:bCs/>
              </w:rPr>
              <w:t>Male/Female</w:t>
            </w:r>
          </w:p>
        </w:tc>
        <w:tc>
          <w:tcPr>
            <w:tcW w:w="0" w:type="auto"/>
          </w:tcPr>
          <w:p w14:paraId="03E19F77" w14:textId="77777777" w:rsidR="0031634C" w:rsidRDefault="00BD6BAD">
            <w:pPr>
              <w:pStyle w:val="Compact"/>
            </w:pPr>
            <w:r>
              <w:rPr>
                <w:b/>
                <w:bCs/>
              </w:rPr>
              <w:t xml:space="preserve">Age </w:t>
            </w:r>
            <w:r>
              <w:rPr>
                <w:b/>
                <w:bCs/>
                <w:i/>
                <w:iCs/>
              </w:rPr>
              <w:t>M</w:t>
            </w:r>
            <w:r>
              <w:rPr>
                <w:b/>
                <w:bCs/>
              </w:rPr>
              <w:t xml:space="preserve"> (</w:t>
            </w:r>
            <w:r>
              <w:rPr>
                <w:b/>
                <w:bCs/>
                <w:i/>
                <w:iCs/>
              </w:rPr>
              <w:t>SD</w:t>
            </w:r>
            <w:r>
              <w:rPr>
                <w:b/>
                <w:bCs/>
              </w:rPr>
              <w:t>)</w:t>
            </w:r>
          </w:p>
        </w:tc>
        <w:tc>
          <w:tcPr>
            <w:tcW w:w="0" w:type="auto"/>
          </w:tcPr>
          <w:p w14:paraId="01AF5274" w14:textId="77777777" w:rsidR="0031634C" w:rsidRDefault="00BD6BAD">
            <w:pPr>
              <w:pStyle w:val="Compact"/>
            </w:pPr>
            <w:r>
              <w:rPr>
                <w:b/>
                <w:bCs/>
              </w:rPr>
              <w:t xml:space="preserve">Trials </w:t>
            </w:r>
            <w:r>
              <w:rPr>
                <w:b/>
                <w:bCs/>
                <w:i/>
                <w:iCs/>
              </w:rPr>
              <w:t>M</w:t>
            </w:r>
            <w:r>
              <w:rPr>
                <w:b/>
                <w:bCs/>
              </w:rPr>
              <w:t xml:space="preserve"> (</w:t>
            </w:r>
            <w:r>
              <w:rPr>
                <w:b/>
                <w:bCs/>
                <w:i/>
                <w:iCs/>
              </w:rPr>
              <w:t>SD</w:t>
            </w:r>
            <w:r>
              <w:rPr>
                <w:b/>
                <w:bCs/>
              </w:rPr>
              <w:t>)</w:t>
            </w:r>
          </w:p>
        </w:tc>
        <w:tc>
          <w:tcPr>
            <w:tcW w:w="0" w:type="auto"/>
          </w:tcPr>
          <w:p w14:paraId="3DFAE4C9" w14:textId="77777777" w:rsidR="0031634C" w:rsidRDefault="00BD6BAD">
            <w:pPr>
              <w:pStyle w:val="Compact"/>
            </w:pPr>
            <w:r>
              <w:rPr>
                <w:b/>
                <w:bCs/>
              </w:rPr>
              <w:t>Median SRT (IQR) ms</w:t>
            </w:r>
          </w:p>
        </w:tc>
        <w:tc>
          <w:tcPr>
            <w:tcW w:w="0" w:type="auto"/>
          </w:tcPr>
          <w:p w14:paraId="5D27D926" w14:textId="77777777" w:rsidR="0031634C" w:rsidRDefault="00BD6BAD">
            <w:pPr>
              <w:pStyle w:val="Compact"/>
            </w:pPr>
            <w:r>
              <w:rPr>
                <w:b/>
                <w:bCs/>
              </w:rPr>
              <w:t>Median MT (IQR) ms</w:t>
            </w:r>
          </w:p>
        </w:tc>
      </w:tr>
      <w:tr w:rsidR="0031634C" w14:paraId="6ADA8DFF" w14:textId="77777777">
        <w:tc>
          <w:tcPr>
            <w:tcW w:w="0" w:type="auto"/>
          </w:tcPr>
          <w:p w14:paraId="29051FFA" w14:textId="77777777" w:rsidR="0031634C" w:rsidRDefault="00BD6BAD">
            <w:pPr>
              <w:pStyle w:val="Compact"/>
            </w:pPr>
            <w:r>
              <w:t>Young (4–6 years)</w:t>
            </w:r>
          </w:p>
        </w:tc>
        <w:tc>
          <w:tcPr>
            <w:tcW w:w="0" w:type="auto"/>
          </w:tcPr>
          <w:p w14:paraId="44A87996" w14:textId="77777777" w:rsidR="0031634C" w:rsidRDefault="00BD6BAD">
            <w:pPr>
              <w:pStyle w:val="Compact"/>
            </w:pPr>
            <w:r>
              <w:t>108</w:t>
            </w:r>
          </w:p>
        </w:tc>
        <w:tc>
          <w:tcPr>
            <w:tcW w:w="0" w:type="auto"/>
          </w:tcPr>
          <w:p w14:paraId="0E4D3913" w14:textId="77777777" w:rsidR="0031634C" w:rsidRDefault="00BD6BAD">
            <w:pPr>
              <w:pStyle w:val="Compact"/>
            </w:pPr>
            <w:r>
              <w:t>65/43</w:t>
            </w:r>
          </w:p>
        </w:tc>
        <w:tc>
          <w:tcPr>
            <w:tcW w:w="0" w:type="auto"/>
          </w:tcPr>
          <w:p w14:paraId="43934F9D" w14:textId="77777777" w:rsidR="0031634C" w:rsidRDefault="00BD6BAD">
            <w:pPr>
              <w:pStyle w:val="Compact"/>
            </w:pPr>
            <w:r>
              <w:t>5.4 (0.8)</w:t>
            </w:r>
          </w:p>
        </w:tc>
        <w:tc>
          <w:tcPr>
            <w:tcW w:w="0" w:type="auto"/>
          </w:tcPr>
          <w:p w14:paraId="05621F58" w14:textId="77777777" w:rsidR="0031634C" w:rsidRDefault="00BD6BAD">
            <w:pPr>
              <w:pStyle w:val="Compact"/>
            </w:pPr>
            <w:r>
              <w:t>18.5 (1.2)</w:t>
            </w:r>
          </w:p>
        </w:tc>
        <w:tc>
          <w:tcPr>
            <w:tcW w:w="0" w:type="auto"/>
          </w:tcPr>
          <w:p w14:paraId="20591643" w14:textId="77777777" w:rsidR="0031634C" w:rsidRDefault="00BD6BAD">
            <w:pPr>
              <w:pStyle w:val="Compact"/>
            </w:pPr>
            <w:r>
              <w:t>610.5 (163.4)</w:t>
            </w:r>
          </w:p>
        </w:tc>
        <w:tc>
          <w:tcPr>
            <w:tcW w:w="0" w:type="auto"/>
          </w:tcPr>
          <w:p w14:paraId="14B7D106" w14:textId="77777777" w:rsidR="0031634C" w:rsidRDefault="00BD6BAD">
            <w:pPr>
              <w:pStyle w:val="Compact"/>
            </w:pPr>
            <w:r>
              <w:t>618.1 (444.0)</w:t>
            </w:r>
          </w:p>
        </w:tc>
      </w:tr>
      <w:tr w:rsidR="0031634C" w14:paraId="7F0F2C44" w14:textId="77777777">
        <w:tc>
          <w:tcPr>
            <w:tcW w:w="0" w:type="auto"/>
          </w:tcPr>
          <w:p w14:paraId="5D866007" w14:textId="77777777" w:rsidR="0031634C" w:rsidRDefault="00BD6BAD">
            <w:pPr>
              <w:pStyle w:val="Compact"/>
            </w:pPr>
            <w:r>
              <w:t>Middle (7–12 years)</w:t>
            </w:r>
          </w:p>
        </w:tc>
        <w:tc>
          <w:tcPr>
            <w:tcW w:w="0" w:type="auto"/>
          </w:tcPr>
          <w:p w14:paraId="071ED812" w14:textId="77777777" w:rsidR="0031634C" w:rsidRDefault="00BD6BAD">
            <w:pPr>
              <w:pStyle w:val="Compact"/>
            </w:pPr>
            <w:r>
              <w:t>117</w:t>
            </w:r>
          </w:p>
        </w:tc>
        <w:tc>
          <w:tcPr>
            <w:tcW w:w="0" w:type="auto"/>
          </w:tcPr>
          <w:p w14:paraId="4553D0C1" w14:textId="77777777" w:rsidR="0031634C" w:rsidRDefault="00BD6BAD">
            <w:pPr>
              <w:pStyle w:val="Compact"/>
            </w:pPr>
            <w:r>
              <w:t>94/23</w:t>
            </w:r>
          </w:p>
        </w:tc>
        <w:tc>
          <w:tcPr>
            <w:tcW w:w="0" w:type="auto"/>
          </w:tcPr>
          <w:p w14:paraId="3B7C4804" w14:textId="77777777" w:rsidR="0031634C" w:rsidRDefault="00BD6BAD">
            <w:pPr>
              <w:pStyle w:val="Compact"/>
            </w:pPr>
            <w:r>
              <w:t>9.4 (1.6)</w:t>
            </w:r>
          </w:p>
        </w:tc>
        <w:tc>
          <w:tcPr>
            <w:tcW w:w="0" w:type="auto"/>
          </w:tcPr>
          <w:p w14:paraId="29E39B5E" w14:textId="77777777" w:rsidR="0031634C" w:rsidRDefault="00BD6BAD">
            <w:pPr>
              <w:pStyle w:val="Compact"/>
            </w:pPr>
            <w:r>
              <w:t>18.2 (1.3)</w:t>
            </w:r>
          </w:p>
        </w:tc>
        <w:tc>
          <w:tcPr>
            <w:tcW w:w="0" w:type="auto"/>
          </w:tcPr>
          <w:p w14:paraId="1BCC3DCB" w14:textId="77777777" w:rsidR="0031634C" w:rsidRDefault="00BD6BAD">
            <w:pPr>
              <w:pStyle w:val="Compact"/>
            </w:pPr>
            <w:r>
              <w:t>446.6 (80.9)</w:t>
            </w:r>
          </w:p>
        </w:tc>
        <w:tc>
          <w:tcPr>
            <w:tcW w:w="0" w:type="auto"/>
          </w:tcPr>
          <w:p w14:paraId="056B43A8" w14:textId="77777777" w:rsidR="0031634C" w:rsidRDefault="00BD6BAD">
            <w:pPr>
              <w:pStyle w:val="Compact"/>
            </w:pPr>
            <w:r>
              <w:t>330.6 (92.8)</w:t>
            </w:r>
          </w:p>
        </w:tc>
      </w:tr>
      <w:tr w:rsidR="0031634C" w14:paraId="71389760" w14:textId="77777777">
        <w:tc>
          <w:tcPr>
            <w:tcW w:w="0" w:type="auto"/>
          </w:tcPr>
          <w:p w14:paraId="04221B4D" w14:textId="77777777" w:rsidR="0031634C" w:rsidRDefault="00BD6BAD">
            <w:pPr>
              <w:pStyle w:val="Compact"/>
            </w:pPr>
            <w:r>
              <w:t>Adolescence (13–17 years)</w:t>
            </w:r>
          </w:p>
        </w:tc>
        <w:tc>
          <w:tcPr>
            <w:tcW w:w="0" w:type="auto"/>
          </w:tcPr>
          <w:p w14:paraId="2B7E1059" w14:textId="77777777" w:rsidR="0031634C" w:rsidRDefault="00BD6BAD">
            <w:pPr>
              <w:pStyle w:val="Compact"/>
            </w:pPr>
            <w:r>
              <w:t>56</w:t>
            </w:r>
          </w:p>
        </w:tc>
        <w:tc>
          <w:tcPr>
            <w:tcW w:w="0" w:type="auto"/>
          </w:tcPr>
          <w:p w14:paraId="1E45E2BA" w14:textId="77777777" w:rsidR="0031634C" w:rsidRDefault="00BD6BAD">
            <w:pPr>
              <w:pStyle w:val="Compact"/>
            </w:pPr>
            <w:r>
              <w:t>50/6</w:t>
            </w:r>
          </w:p>
        </w:tc>
        <w:tc>
          <w:tcPr>
            <w:tcW w:w="0" w:type="auto"/>
          </w:tcPr>
          <w:p w14:paraId="7A17BC7A" w14:textId="77777777" w:rsidR="0031634C" w:rsidRDefault="00BD6BAD">
            <w:pPr>
              <w:pStyle w:val="Compact"/>
            </w:pPr>
            <w:r>
              <w:t>16.3 (1.5)</w:t>
            </w:r>
          </w:p>
        </w:tc>
        <w:tc>
          <w:tcPr>
            <w:tcW w:w="0" w:type="auto"/>
          </w:tcPr>
          <w:p w14:paraId="7BA69C63" w14:textId="77777777" w:rsidR="0031634C" w:rsidRDefault="00BD6BAD">
            <w:pPr>
              <w:pStyle w:val="Compact"/>
            </w:pPr>
            <w:r>
              <w:t>17.8 (1.0)</w:t>
            </w:r>
          </w:p>
        </w:tc>
        <w:tc>
          <w:tcPr>
            <w:tcW w:w="0" w:type="auto"/>
          </w:tcPr>
          <w:p w14:paraId="41CA7CC6" w14:textId="77777777" w:rsidR="0031634C" w:rsidRDefault="00BD6BAD">
            <w:pPr>
              <w:pStyle w:val="Compact"/>
            </w:pPr>
            <w:r>
              <w:t>396.9 (37.1)</w:t>
            </w:r>
          </w:p>
        </w:tc>
        <w:tc>
          <w:tcPr>
            <w:tcW w:w="0" w:type="auto"/>
          </w:tcPr>
          <w:p w14:paraId="102186AF" w14:textId="77777777" w:rsidR="0031634C" w:rsidRDefault="00BD6BAD">
            <w:pPr>
              <w:pStyle w:val="Compact"/>
            </w:pPr>
            <w:r>
              <w:t>269.7 (49.8)</w:t>
            </w:r>
          </w:p>
        </w:tc>
      </w:tr>
      <w:tr w:rsidR="0031634C" w14:paraId="314903AA" w14:textId="77777777">
        <w:tc>
          <w:tcPr>
            <w:tcW w:w="0" w:type="auto"/>
          </w:tcPr>
          <w:p w14:paraId="231439BC" w14:textId="77777777" w:rsidR="0031634C" w:rsidRDefault="00BD6BAD">
            <w:pPr>
              <w:pStyle w:val="Compact"/>
            </w:pPr>
            <w:r>
              <w:t>Adult (18–30 years)</w:t>
            </w:r>
          </w:p>
        </w:tc>
        <w:tc>
          <w:tcPr>
            <w:tcW w:w="0" w:type="auto"/>
          </w:tcPr>
          <w:p w14:paraId="59F79E83" w14:textId="77777777" w:rsidR="0031634C" w:rsidRDefault="00BD6BAD">
            <w:pPr>
              <w:pStyle w:val="Compact"/>
            </w:pPr>
            <w:r>
              <w:t>1,299</w:t>
            </w:r>
          </w:p>
        </w:tc>
        <w:tc>
          <w:tcPr>
            <w:tcW w:w="0" w:type="auto"/>
          </w:tcPr>
          <w:p w14:paraId="0B88F0CB" w14:textId="77777777" w:rsidR="0031634C" w:rsidRDefault="00BD6BAD">
            <w:pPr>
              <w:pStyle w:val="Compact"/>
            </w:pPr>
            <w:r>
              <w:t>826/473</w:t>
            </w:r>
          </w:p>
        </w:tc>
        <w:tc>
          <w:tcPr>
            <w:tcW w:w="0" w:type="auto"/>
          </w:tcPr>
          <w:p w14:paraId="1F8A5020" w14:textId="77777777" w:rsidR="0031634C" w:rsidRDefault="00BD6BAD">
            <w:pPr>
              <w:pStyle w:val="Compact"/>
            </w:pPr>
            <w:r>
              <w:t>20.5 (2.6)</w:t>
            </w:r>
          </w:p>
        </w:tc>
        <w:tc>
          <w:tcPr>
            <w:tcW w:w="0" w:type="auto"/>
          </w:tcPr>
          <w:p w14:paraId="18308DD4" w14:textId="77777777" w:rsidR="0031634C" w:rsidRDefault="00BD6BAD">
            <w:pPr>
              <w:pStyle w:val="Compact"/>
            </w:pPr>
            <w:r>
              <w:t>18.3 (1.2)</w:t>
            </w:r>
          </w:p>
        </w:tc>
        <w:tc>
          <w:tcPr>
            <w:tcW w:w="0" w:type="auto"/>
          </w:tcPr>
          <w:p w14:paraId="19BDCC51" w14:textId="77777777" w:rsidR="0031634C" w:rsidRDefault="00BD6BAD">
            <w:pPr>
              <w:pStyle w:val="Compact"/>
            </w:pPr>
            <w:r>
              <w:t>363.9 (78.9)</w:t>
            </w:r>
          </w:p>
        </w:tc>
        <w:tc>
          <w:tcPr>
            <w:tcW w:w="0" w:type="auto"/>
          </w:tcPr>
          <w:p w14:paraId="21541226" w14:textId="77777777" w:rsidR="0031634C" w:rsidRDefault="00BD6BAD">
            <w:pPr>
              <w:pStyle w:val="Compact"/>
            </w:pPr>
            <w:r>
              <w:t>271.0 (80.2)</w:t>
            </w:r>
          </w:p>
        </w:tc>
      </w:tr>
      <w:tr w:rsidR="0031634C" w14:paraId="418A29B7" w14:textId="77777777">
        <w:tc>
          <w:tcPr>
            <w:tcW w:w="0" w:type="auto"/>
          </w:tcPr>
          <w:p w14:paraId="591E4BA6" w14:textId="77777777" w:rsidR="0031634C" w:rsidRDefault="00BD6BAD">
            <w:pPr>
              <w:pStyle w:val="Compact"/>
            </w:pPr>
            <w:r>
              <w:t>Elder (&gt; 65 years)</w:t>
            </w:r>
          </w:p>
        </w:tc>
        <w:tc>
          <w:tcPr>
            <w:tcW w:w="0" w:type="auto"/>
          </w:tcPr>
          <w:p w14:paraId="7A4916AA" w14:textId="77777777" w:rsidR="0031634C" w:rsidRDefault="00BD6BAD">
            <w:pPr>
              <w:pStyle w:val="Compact"/>
            </w:pPr>
            <w:r>
              <w:t>72</w:t>
            </w:r>
          </w:p>
        </w:tc>
        <w:tc>
          <w:tcPr>
            <w:tcW w:w="0" w:type="auto"/>
          </w:tcPr>
          <w:p w14:paraId="60F75F28" w14:textId="77777777" w:rsidR="0031634C" w:rsidRDefault="00BD6BAD">
            <w:pPr>
              <w:pStyle w:val="Compact"/>
            </w:pPr>
            <w:r>
              <w:t>27/45</w:t>
            </w:r>
          </w:p>
        </w:tc>
        <w:tc>
          <w:tcPr>
            <w:tcW w:w="0" w:type="auto"/>
          </w:tcPr>
          <w:p w14:paraId="0D0A74D9" w14:textId="77777777" w:rsidR="0031634C" w:rsidRDefault="00BD6BAD">
            <w:pPr>
              <w:pStyle w:val="Compact"/>
            </w:pPr>
            <w:r>
              <w:t>73.8 (6.3)</w:t>
            </w:r>
          </w:p>
        </w:tc>
        <w:tc>
          <w:tcPr>
            <w:tcW w:w="0" w:type="auto"/>
          </w:tcPr>
          <w:p w14:paraId="65317136" w14:textId="77777777" w:rsidR="0031634C" w:rsidRDefault="00BD6BAD">
            <w:pPr>
              <w:pStyle w:val="Compact"/>
            </w:pPr>
            <w:r>
              <w:t>18.6 (1.1)</w:t>
            </w:r>
          </w:p>
        </w:tc>
        <w:tc>
          <w:tcPr>
            <w:tcW w:w="0" w:type="auto"/>
          </w:tcPr>
          <w:p w14:paraId="34D1104A" w14:textId="77777777" w:rsidR="0031634C" w:rsidRDefault="00BD6BAD">
            <w:pPr>
              <w:pStyle w:val="Compact"/>
            </w:pPr>
            <w:r>
              <w:t>529.3 (144.6)</w:t>
            </w:r>
          </w:p>
        </w:tc>
        <w:tc>
          <w:tcPr>
            <w:tcW w:w="0" w:type="auto"/>
          </w:tcPr>
          <w:p w14:paraId="536AC165" w14:textId="77777777" w:rsidR="0031634C" w:rsidRDefault="00BD6BAD">
            <w:pPr>
              <w:pStyle w:val="Compact"/>
            </w:pPr>
            <w:r>
              <w:t>562.4 (285.2)</w:t>
            </w:r>
          </w:p>
        </w:tc>
      </w:tr>
    </w:tbl>
    <w:p w14:paraId="6C6F2C24" w14:textId="77777777" w:rsidR="0031634C" w:rsidRDefault="00BD6BAD">
      <w:pPr>
        <w:pStyle w:val="a0"/>
      </w:pPr>
      <w:r>
        <w:rPr>
          <w:i/>
          <w:iCs/>
        </w:rPr>
        <w:lastRenderedPageBreak/>
        <w:t>Note.</w:t>
      </w:r>
      <w:r>
        <w:t xml:space="preserve"> </w:t>
      </w:r>
      <w:r>
        <w:t>Median SRT and MT are computed as within-subject medians, then summarized across subjects. IQR = interquartile range. Outlier trials (SRT or MT outside log-transformed Tukey’s fences with 2 × IQR, or SRT &lt; 150 ms) were excluded prior to computation.</w:t>
      </w:r>
    </w:p>
    <w:p w14:paraId="7FFD5909" w14:textId="77777777" w:rsidR="0031634C" w:rsidRDefault="00BD6BAD">
      <w:pPr>
        <w:pStyle w:val="3"/>
      </w:pPr>
      <w:bookmarkStart w:id="17" w:name="hbm-analysis-results"/>
      <w:bookmarkEnd w:id="16"/>
      <w:r>
        <w:t>HBM An</w:t>
      </w:r>
      <w:r>
        <w:t>alysis Results</w:t>
      </w:r>
    </w:p>
    <w:p w14:paraId="354DA721" w14:textId="77777777" w:rsidR="0031634C" w:rsidRDefault="00BD6BAD">
      <w:pPr>
        <w:pStyle w:val="FirstParagraph"/>
      </w:pPr>
      <w:r>
        <w:t xml:space="preserve">Convergence was satisfactory for both models (Figure 4). For SRT, 98.0% of all individual-level parameters met the </w:t>
      </w:r>
      <w:r>
        <w:rPr>
          <w:i/>
          <w:iCs/>
        </w:rPr>
        <w:t>R̂</w:t>
      </w:r>
      <w:r>
        <w:t xml:space="preserve"> &lt; 1.10 criterion. Median </w:t>
      </w:r>
      <w:r>
        <w:rPr>
          <w:i/>
          <w:iCs/>
        </w:rPr>
        <w:t>R̂</w:t>
      </w:r>
      <w:r>
        <w:t xml:space="preserve"> values by parameter were 1.011 (</w:t>
      </w:r>
      <w:r>
        <w:rPr>
          <w:i/>
          <w:iCs/>
        </w:rPr>
        <w:t>t</w:t>
      </w:r>
      <w:r>
        <w:t>₀</w:t>
      </w:r>
      <w:r>
        <w:t>), 1.009 (λ), and 1.007 (κ). The median ESS was 177 overall (</w:t>
      </w:r>
      <w:r>
        <w:t xml:space="preserve">parameter-specific medians: 151 for </w:t>
      </w:r>
      <w:r>
        <w:rPr>
          <w:i/>
          <w:iCs/>
        </w:rPr>
        <w:t>t</w:t>
      </w:r>
      <w:r>
        <w:t>₀</w:t>
      </w:r>
      <w:r>
        <w:t>, 159 for λ, 229 for κ). Convergence was consistent across age groups (97.6–100.0%), with the adult group (18–30 years) showing the lowest rate (97.6%) owing to its large sample size, which increases the probability of</w:t>
      </w:r>
      <w:r>
        <w:t xml:space="preserve"> at least some non-converging chains. For MT, overall convergence was 98.0% with a median ESS of 126 (parameter-specific medians: 106 for </w:t>
      </w:r>
      <w:r>
        <w:rPr>
          <w:i/>
          <w:iCs/>
        </w:rPr>
        <w:t>t</w:t>
      </w:r>
      <w:r>
        <w:t>₀</w:t>
      </w:r>
      <w:r>
        <w:t>, 106 for λ, 171 for κ). Convergence rates by age group ranged from 97.7% (adults) to 100.0% (65+ years). A small nu</w:t>
      </w:r>
      <w:r>
        <w:t xml:space="preserve">mber of parameters across both models exhibited elevated </w:t>
      </w:r>
      <w:r>
        <w:rPr>
          <w:i/>
          <w:iCs/>
        </w:rPr>
        <w:t>R̂</w:t>
      </w:r>
      <w:r>
        <w:t xml:space="preserve"> (max </w:t>
      </w:r>
      <w:r>
        <w:rPr>
          <w:i/>
          <w:iCs/>
        </w:rPr>
        <w:t>R̂</w:t>
      </w:r>
      <w:r>
        <w:t xml:space="preserve"> = 3.45 for SRT, 3.60 for MT), corresponding to isolated individual-level chains that failed to mix. These parameters were retained to avoid selection bias; their posterior medians were sta</w:t>
      </w:r>
      <w:r>
        <w:t>ble across the remaining chains (see Supplementary Materials). Each model required approximately 0.7 hours of computation with 4 chains × 50,000 iterations (20,000 burn-in, thinning factor = 5, yielding 6,000 posterior samples per chain).</w:t>
      </w:r>
    </w:p>
    <w:p w14:paraId="7F117660" w14:textId="77777777" w:rsidR="0031634C" w:rsidRDefault="00BD6BAD">
      <w:pPr>
        <w:pStyle w:val="a0"/>
      </w:pPr>
      <w:r>
        <w:t>Goodness-of-fit m</w:t>
      </w:r>
      <w:r>
        <w:t>etrics supported the adequacy of the shifted Weibull model across all age groups (Table 2). For SRT, quantile-level RMSE ranged from 24.9 ± 28.9 ms (7–12 years) to 81.0 ± 128.6 ms (&lt; 7 years). For MT, RMSE ranged from 15.7 ± 38.2 ms (adults) to 119.3 ± 161</w:t>
      </w:r>
      <w:r>
        <w:t>.1 ms (&lt; 7 years). MAPE was highest in the youngest children (8.5% for MT) and lowest in adults (3.8% for MT; 4.2% for SRT), reflecting proportionally better fit in groups with smaller absolute RT variability. Prediction interval coverage was at or above t</w:t>
      </w:r>
      <w:r>
        <w:t xml:space="preserve">he .90 nominal target for all age groups (.94–.97), confirming that the posterior predictive distributions were well calibrated. Posterior predictive </w:t>
      </w:r>
      <w:r>
        <w:rPr>
          <w:i/>
          <w:iCs/>
        </w:rPr>
        <w:t>p</w:t>
      </w:r>
      <w:r>
        <w:t>-values for the shift test (</w:t>
      </w:r>
      <w:r>
        <w:rPr>
          <w:i/>
          <w:iCs/>
        </w:rPr>
        <w:t>T</w:t>
      </w:r>
      <w:r>
        <w:t>_min) showed that 0.0–0.1% (SRT) and 0.0–0.7% (MT) of participants had extre</w:t>
      </w:r>
      <w:r>
        <w:t>me values across age groups, well within the expected rate under a well-specified model. The variability test (</w:t>
      </w:r>
      <w:r>
        <w:rPr>
          <w:i/>
          <w:iCs/>
        </w:rPr>
        <w:t>T</w:t>
      </w:r>
      <w:r>
        <w:t>_sd) showed low misfit rates for most groups (0.0–7.1% for SRT; 0.0–3.6% for MT), indicating that the Weibull model adequately captures trial-to</w:t>
      </w:r>
      <w:r>
        <w:t>-trial variability for the large majority of participants. The slightly elevated rate in adolescents (7.1% for SRT) and the youngest children’s MT may reflect attentional lapses producing occasional extreme slow responses beyond what a single Weibull distr</w:t>
      </w:r>
      <w:r>
        <w:t>ibution can accommodate. This is a known limitation addressable through contamination mixture extensions (see Discussion).</w:t>
      </w:r>
    </w:p>
    <w:p w14:paraId="5BF73576" w14:textId="77777777" w:rsidR="0031634C" w:rsidRDefault="00BD6BAD">
      <w:pPr>
        <w:pStyle w:val="a0"/>
      </w:pPr>
      <w:r>
        <w:rPr>
          <w:b/>
          <w:bCs/>
        </w:rPr>
        <w:t>Table 2.</w:t>
      </w:r>
      <w:r>
        <w:t xml:space="preserve"> </w:t>
      </w:r>
      <w:r>
        <w:rPr>
          <w:i/>
          <w:iCs/>
        </w:rPr>
        <w:t>Goodness-of-Fit Summary for Shifted Weibull HBM by DV and Age Group</w:t>
      </w:r>
    </w:p>
    <w:tbl>
      <w:tblPr>
        <w:tblStyle w:val="Table"/>
        <w:tblW w:w="5000" w:type="pct"/>
        <w:tblLook w:val="0020" w:firstRow="1" w:lastRow="0" w:firstColumn="0" w:lastColumn="0" w:noHBand="0" w:noVBand="0"/>
      </w:tblPr>
      <w:tblGrid>
        <w:gridCol w:w="733"/>
        <w:gridCol w:w="1511"/>
        <w:gridCol w:w="873"/>
        <w:gridCol w:w="1888"/>
        <w:gridCol w:w="1502"/>
        <w:gridCol w:w="2008"/>
        <w:gridCol w:w="1315"/>
        <w:gridCol w:w="1186"/>
      </w:tblGrid>
      <w:tr w:rsidR="0031634C" w14:paraId="3D442DC1"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35CAE1FC" w14:textId="77777777" w:rsidR="0031634C" w:rsidRDefault="00BD6BAD">
            <w:pPr>
              <w:pStyle w:val="Compact"/>
            </w:pPr>
            <w:r>
              <w:t>DV</w:t>
            </w:r>
          </w:p>
        </w:tc>
        <w:tc>
          <w:tcPr>
            <w:tcW w:w="0" w:type="auto"/>
          </w:tcPr>
          <w:p w14:paraId="434C4C86" w14:textId="77777777" w:rsidR="0031634C" w:rsidRDefault="00BD6BAD">
            <w:pPr>
              <w:pStyle w:val="Compact"/>
            </w:pPr>
            <w:r>
              <w:t>Age Group</w:t>
            </w:r>
          </w:p>
        </w:tc>
        <w:tc>
          <w:tcPr>
            <w:tcW w:w="0" w:type="auto"/>
          </w:tcPr>
          <w:p w14:paraId="6120918F" w14:textId="77777777" w:rsidR="0031634C" w:rsidRDefault="00BD6BAD">
            <w:pPr>
              <w:pStyle w:val="Compact"/>
            </w:pPr>
            <w:r>
              <w:rPr>
                <w:i/>
                <w:iCs/>
              </w:rPr>
              <w:t>N</w:t>
            </w:r>
          </w:p>
        </w:tc>
        <w:tc>
          <w:tcPr>
            <w:tcW w:w="0" w:type="auto"/>
          </w:tcPr>
          <w:p w14:paraId="397D15D5" w14:textId="77777777" w:rsidR="0031634C" w:rsidRDefault="00BD6BAD">
            <w:pPr>
              <w:pStyle w:val="Compact"/>
            </w:pPr>
            <w:r>
              <w:t>RMSE (ms)</w:t>
            </w:r>
          </w:p>
        </w:tc>
        <w:tc>
          <w:tcPr>
            <w:tcW w:w="0" w:type="auto"/>
          </w:tcPr>
          <w:p w14:paraId="0EBB6206" w14:textId="77777777" w:rsidR="0031634C" w:rsidRDefault="00BD6BAD">
            <w:pPr>
              <w:pStyle w:val="Compact"/>
            </w:pPr>
            <w:r>
              <w:t>MAPE (%)</w:t>
            </w:r>
          </w:p>
        </w:tc>
        <w:tc>
          <w:tcPr>
            <w:tcW w:w="0" w:type="auto"/>
          </w:tcPr>
          <w:p w14:paraId="45AC4B42" w14:textId="77777777" w:rsidR="0031634C" w:rsidRDefault="00BD6BAD">
            <w:pPr>
              <w:pStyle w:val="Compact"/>
            </w:pPr>
            <w:r>
              <w:t>Coverage (.90)</w:t>
            </w:r>
          </w:p>
        </w:tc>
        <w:tc>
          <w:tcPr>
            <w:tcW w:w="0" w:type="auto"/>
          </w:tcPr>
          <w:p w14:paraId="7DCFFCF6" w14:textId="77777777" w:rsidR="0031634C" w:rsidRDefault="00BD6BAD">
            <w:pPr>
              <w:pStyle w:val="Compact"/>
            </w:pPr>
            <w:r>
              <w:t xml:space="preserve">PP </w:t>
            </w:r>
            <w:r>
              <w:rPr>
                <w:i/>
                <w:iCs/>
              </w:rPr>
              <w:t>p</w:t>
            </w:r>
            <w:r>
              <w:t xml:space="preserve"> </w:t>
            </w:r>
            <w:r>
              <w:rPr>
                <w:i/>
                <w:iCs/>
              </w:rPr>
              <w:t>T</w:t>
            </w:r>
            <w:r>
              <w:rPr>
                <w:vertAlign w:val="subscript"/>
              </w:rPr>
              <w:t>m</w:t>
            </w:r>
            <w:r>
              <w:rPr>
                <w:vertAlign w:val="subscript"/>
              </w:rPr>
              <w:t>in</w:t>
            </w:r>
          </w:p>
        </w:tc>
        <w:tc>
          <w:tcPr>
            <w:tcW w:w="0" w:type="auto"/>
          </w:tcPr>
          <w:p w14:paraId="2F286F57" w14:textId="77777777" w:rsidR="0031634C" w:rsidRDefault="00BD6BAD">
            <w:pPr>
              <w:pStyle w:val="Compact"/>
            </w:pPr>
            <w:r>
              <w:t xml:space="preserve">PP </w:t>
            </w:r>
            <w:r>
              <w:rPr>
                <w:i/>
                <w:iCs/>
              </w:rPr>
              <w:t>p</w:t>
            </w:r>
            <w:r>
              <w:t xml:space="preserve"> </w:t>
            </w:r>
            <w:r>
              <w:rPr>
                <w:i/>
                <w:iCs/>
              </w:rPr>
              <w:t>T</w:t>
            </w:r>
            <w:r>
              <w:rPr>
                <w:vertAlign w:val="subscript"/>
              </w:rPr>
              <w:t>sd</w:t>
            </w:r>
          </w:p>
        </w:tc>
      </w:tr>
      <w:tr w:rsidR="0031634C" w14:paraId="62A5934A" w14:textId="77777777">
        <w:tc>
          <w:tcPr>
            <w:tcW w:w="0" w:type="auto"/>
          </w:tcPr>
          <w:p w14:paraId="7B9C1416" w14:textId="77777777" w:rsidR="0031634C" w:rsidRDefault="00BD6BAD">
            <w:pPr>
              <w:pStyle w:val="Compact"/>
            </w:pPr>
            <w:r>
              <w:t>SRT</w:t>
            </w:r>
          </w:p>
        </w:tc>
        <w:tc>
          <w:tcPr>
            <w:tcW w:w="0" w:type="auto"/>
          </w:tcPr>
          <w:p w14:paraId="2DBB7B11" w14:textId="77777777" w:rsidR="0031634C" w:rsidRDefault="00BD6BAD">
            <w:pPr>
              <w:pStyle w:val="Compact"/>
            </w:pPr>
            <w:r>
              <w:t>&lt; 7</w:t>
            </w:r>
          </w:p>
        </w:tc>
        <w:tc>
          <w:tcPr>
            <w:tcW w:w="0" w:type="auto"/>
          </w:tcPr>
          <w:p w14:paraId="0C6D0462" w14:textId="77777777" w:rsidR="0031634C" w:rsidRDefault="00BD6BAD">
            <w:pPr>
              <w:pStyle w:val="Compact"/>
            </w:pPr>
            <w:r>
              <w:t>110</w:t>
            </w:r>
          </w:p>
        </w:tc>
        <w:tc>
          <w:tcPr>
            <w:tcW w:w="0" w:type="auto"/>
          </w:tcPr>
          <w:p w14:paraId="4D4DE8D6" w14:textId="77777777" w:rsidR="0031634C" w:rsidRDefault="00BD6BAD">
            <w:pPr>
              <w:pStyle w:val="Compact"/>
            </w:pPr>
            <w:r>
              <w:t>81.0 ± 128.6</w:t>
            </w:r>
          </w:p>
        </w:tc>
        <w:tc>
          <w:tcPr>
            <w:tcW w:w="0" w:type="auto"/>
          </w:tcPr>
          <w:p w14:paraId="40EA2D4A" w14:textId="77777777" w:rsidR="0031634C" w:rsidRDefault="00BD6BAD">
            <w:pPr>
              <w:pStyle w:val="Compact"/>
            </w:pPr>
            <w:r>
              <w:t>6.4 ± 3.7</w:t>
            </w:r>
          </w:p>
        </w:tc>
        <w:tc>
          <w:tcPr>
            <w:tcW w:w="0" w:type="auto"/>
          </w:tcPr>
          <w:p w14:paraId="72D837A9" w14:textId="77777777" w:rsidR="0031634C" w:rsidRDefault="00BD6BAD">
            <w:pPr>
              <w:pStyle w:val="Compact"/>
            </w:pPr>
            <w:r>
              <w:t>0.96 ± 0.03</w:t>
            </w:r>
          </w:p>
        </w:tc>
        <w:tc>
          <w:tcPr>
            <w:tcW w:w="0" w:type="auto"/>
          </w:tcPr>
          <w:p w14:paraId="6BDC4F0B" w14:textId="77777777" w:rsidR="0031634C" w:rsidRDefault="00BD6BAD">
            <w:pPr>
              <w:pStyle w:val="Compact"/>
            </w:pPr>
            <w:r>
              <w:t>0.0%</w:t>
            </w:r>
          </w:p>
        </w:tc>
        <w:tc>
          <w:tcPr>
            <w:tcW w:w="0" w:type="auto"/>
          </w:tcPr>
          <w:p w14:paraId="7DD1548D" w14:textId="77777777" w:rsidR="0031634C" w:rsidRDefault="00BD6BAD">
            <w:pPr>
              <w:pStyle w:val="Compact"/>
            </w:pPr>
            <w:r>
              <w:t>0.0%</w:t>
            </w:r>
          </w:p>
        </w:tc>
      </w:tr>
      <w:tr w:rsidR="0031634C" w14:paraId="657F1C62" w14:textId="77777777">
        <w:tc>
          <w:tcPr>
            <w:tcW w:w="0" w:type="auto"/>
          </w:tcPr>
          <w:p w14:paraId="051077A5" w14:textId="77777777" w:rsidR="0031634C" w:rsidRDefault="00BD6BAD">
            <w:pPr>
              <w:pStyle w:val="Compact"/>
            </w:pPr>
            <w:r>
              <w:t>SRT</w:t>
            </w:r>
          </w:p>
        </w:tc>
        <w:tc>
          <w:tcPr>
            <w:tcW w:w="0" w:type="auto"/>
          </w:tcPr>
          <w:p w14:paraId="63CAAEC9" w14:textId="77777777" w:rsidR="0031634C" w:rsidRDefault="00BD6BAD">
            <w:pPr>
              <w:pStyle w:val="Compact"/>
            </w:pPr>
            <w:r>
              <w:t>7–12</w:t>
            </w:r>
          </w:p>
        </w:tc>
        <w:tc>
          <w:tcPr>
            <w:tcW w:w="0" w:type="auto"/>
          </w:tcPr>
          <w:p w14:paraId="71A0378C" w14:textId="77777777" w:rsidR="0031634C" w:rsidRDefault="00BD6BAD">
            <w:pPr>
              <w:pStyle w:val="Compact"/>
            </w:pPr>
            <w:r>
              <w:t>117</w:t>
            </w:r>
          </w:p>
        </w:tc>
        <w:tc>
          <w:tcPr>
            <w:tcW w:w="0" w:type="auto"/>
          </w:tcPr>
          <w:p w14:paraId="2A7FF098" w14:textId="77777777" w:rsidR="0031634C" w:rsidRDefault="00BD6BAD">
            <w:pPr>
              <w:pStyle w:val="Compact"/>
            </w:pPr>
            <w:r>
              <w:t>24.9 ± 28.9</w:t>
            </w:r>
          </w:p>
        </w:tc>
        <w:tc>
          <w:tcPr>
            <w:tcW w:w="0" w:type="auto"/>
          </w:tcPr>
          <w:p w14:paraId="093DBF14" w14:textId="77777777" w:rsidR="0031634C" w:rsidRDefault="00BD6BAD">
            <w:pPr>
              <w:pStyle w:val="Compact"/>
            </w:pPr>
            <w:r>
              <w:t>3.7 ± 3.0</w:t>
            </w:r>
          </w:p>
        </w:tc>
        <w:tc>
          <w:tcPr>
            <w:tcW w:w="0" w:type="auto"/>
          </w:tcPr>
          <w:p w14:paraId="20D81D29" w14:textId="77777777" w:rsidR="0031634C" w:rsidRDefault="00BD6BAD">
            <w:pPr>
              <w:pStyle w:val="Compact"/>
            </w:pPr>
            <w:r>
              <w:t>0.95 ± 0.04</w:t>
            </w:r>
          </w:p>
        </w:tc>
        <w:tc>
          <w:tcPr>
            <w:tcW w:w="0" w:type="auto"/>
          </w:tcPr>
          <w:p w14:paraId="1DE37EE5" w14:textId="77777777" w:rsidR="0031634C" w:rsidRDefault="00BD6BAD">
            <w:pPr>
              <w:pStyle w:val="Compact"/>
            </w:pPr>
            <w:r>
              <w:t>0.0%</w:t>
            </w:r>
          </w:p>
        </w:tc>
        <w:tc>
          <w:tcPr>
            <w:tcW w:w="0" w:type="auto"/>
          </w:tcPr>
          <w:p w14:paraId="3B87D83B" w14:textId="77777777" w:rsidR="0031634C" w:rsidRDefault="00BD6BAD">
            <w:pPr>
              <w:pStyle w:val="Compact"/>
            </w:pPr>
            <w:r>
              <w:t>0.0%</w:t>
            </w:r>
          </w:p>
        </w:tc>
      </w:tr>
      <w:tr w:rsidR="0031634C" w14:paraId="768BAA15" w14:textId="77777777">
        <w:tc>
          <w:tcPr>
            <w:tcW w:w="0" w:type="auto"/>
          </w:tcPr>
          <w:p w14:paraId="5870CA58" w14:textId="77777777" w:rsidR="0031634C" w:rsidRDefault="00BD6BAD">
            <w:pPr>
              <w:pStyle w:val="Compact"/>
            </w:pPr>
            <w:r>
              <w:t>SRT</w:t>
            </w:r>
          </w:p>
        </w:tc>
        <w:tc>
          <w:tcPr>
            <w:tcW w:w="0" w:type="auto"/>
          </w:tcPr>
          <w:p w14:paraId="7A0F7DA3" w14:textId="77777777" w:rsidR="0031634C" w:rsidRDefault="00BD6BAD">
            <w:pPr>
              <w:pStyle w:val="Compact"/>
            </w:pPr>
            <w:r>
              <w:t>13–17</w:t>
            </w:r>
          </w:p>
        </w:tc>
        <w:tc>
          <w:tcPr>
            <w:tcW w:w="0" w:type="auto"/>
          </w:tcPr>
          <w:p w14:paraId="3F53D718" w14:textId="77777777" w:rsidR="0031634C" w:rsidRDefault="00BD6BAD">
            <w:pPr>
              <w:pStyle w:val="Compact"/>
            </w:pPr>
            <w:r>
              <w:t>56</w:t>
            </w:r>
          </w:p>
        </w:tc>
        <w:tc>
          <w:tcPr>
            <w:tcW w:w="0" w:type="auto"/>
          </w:tcPr>
          <w:p w14:paraId="0E6F7762" w14:textId="77777777" w:rsidR="0031634C" w:rsidRDefault="00BD6BAD">
            <w:pPr>
              <w:pStyle w:val="Compact"/>
            </w:pPr>
            <w:r>
              <w:t>44.7 ± 140.1</w:t>
            </w:r>
          </w:p>
        </w:tc>
        <w:tc>
          <w:tcPr>
            <w:tcW w:w="0" w:type="auto"/>
          </w:tcPr>
          <w:p w14:paraId="65439EE6" w14:textId="77777777" w:rsidR="0031634C" w:rsidRDefault="00BD6BAD">
            <w:pPr>
              <w:pStyle w:val="Compact"/>
            </w:pPr>
            <w:r>
              <w:t>6.3 ± 13.8</w:t>
            </w:r>
          </w:p>
        </w:tc>
        <w:tc>
          <w:tcPr>
            <w:tcW w:w="0" w:type="auto"/>
          </w:tcPr>
          <w:p w14:paraId="6E33D583" w14:textId="77777777" w:rsidR="0031634C" w:rsidRDefault="00BD6BAD">
            <w:pPr>
              <w:pStyle w:val="Compact"/>
            </w:pPr>
            <w:r>
              <w:t>0.97 ± 0.04</w:t>
            </w:r>
          </w:p>
        </w:tc>
        <w:tc>
          <w:tcPr>
            <w:tcW w:w="0" w:type="auto"/>
          </w:tcPr>
          <w:p w14:paraId="5592FB60" w14:textId="77777777" w:rsidR="0031634C" w:rsidRDefault="00BD6BAD">
            <w:pPr>
              <w:pStyle w:val="Compact"/>
            </w:pPr>
            <w:r>
              <w:t>0.0%</w:t>
            </w:r>
          </w:p>
        </w:tc>
        <w:tc>
          <w:tcPr>
            <w:tcW w:w="0" w:type="auto"/>
          </w:tcPr>
          <w:p w14:paraId="02C2643A" w14:textId="77777777" w:rsidR="0031634C" w:rsidRDefault="00BD6BAD">
            <w:pPr>
              <w:pStyle w:val="Compact"/>
            </w:pPr>
            <w:r>
              <w:t>7.1%</w:t>
            </w:r>
          </w:p>
        </w:tc>
      </w:tr>
      <w:tr w:rsidR="0031634C" w14:paraId="7CA1B7B2" w14:textId="77777777">
        <w:tc>
          <w:tcPr>
            <w:tcW w:w="0" w:type="auto"/>
          </w:tcPr>
          <w:p w14:paraId="6708DD7E" w14:textId="77777777" w:rsidR="0031634C" w:rsidRDefault="00BD6BAD">
            <w:pPr>
              <w:pStyle w:val="Compact"/>
            </w:pPr>
            <w:r>
              <w:t>SRT</w:t>
            </w:r>
          </w:p>
        </w:tc>
        <w:tc>
          <w:tcPr>
            <w:tcW w:w="0" w:type="auto"/>
          </w:tcPr>
          <w:p w14:paraId="5A2610E6" w14:textId="77777777" w:rsidR="0031634C" w:rsidRDefault="00BD6BAD">
            <w:pPr>
              <w:pStyle w:val="Compact"/>
            </w:pPr>
            <w:r>
              <w:t>18–30</w:t>
            </w:r>
          </w:p>
        </w:tc>
        <w:tc>
          <w:tcPr>
            <w:tcW w:w="0" w:type="auto"/>
          </w:tcPr>
          <w:p w14:paraId="01633780" w14:textId="77777777" w:rsidR="0031634C" w:rsidRDefault="00BD6BAD">
            <w:pPr>
              <w:pStyle w:val="Compact"/>
            </w:pPr>
            <w:r>
              <w:t>1297</w:t>
            </w:r>
          </w:p>
        </w:tc>
        <w:tc>
          <w:tcPr>
            <w:tcW w:w="0" w:type="auto"/>
          </w:tcPr>
          <w:p w14:paraId="5654EB36" w14:textId="77777777" w:rsidR="0031634C" w:rsidRDefault="00BD6BAD">
            <w:pPr>
              <w:pStyle w:val="Compact"/>
            </w:pPr>
            <w:r>
              <w:t>30.0 ± 398.1</w:t>
            </w:r>
          </w:p>
        </w:tc>
        <w:tc>
          <w:tcPr>
            <w:tcW w:w="0" w:type="auto"/>
          </w:tcPr>
          <w:p w14:paraId="12D05BED" w14:textId="77777777" w:rsidR="0031634C" w:rsidRDefault="00BD6BAD">
            <w:pPr>
              <w:pStyle w:val="Compact"/>
            </w:pPr>
            <w:r>
              <w:t>4.2 ± 31.4</w:t>
            </w:r>
          </w:p>
        </w:tc>
        <w:tc>
          <w:tcPr>
            <w:tcW w:w="0" w:type="auto"/>
          </w:tcPr>
          <w:p w14:paraId="5E6341DA" w14:textId="77777777" w:rsidR="0031634C" w:rsidRDefault="00BD6BAD">
            <w:pPr>
              <w:pStyle w:val="Compact"/>
            </w:pPr>
            <w:r>
              <w:t>0.94 ± 0.04</w:t>
            </w:r>
          </w:p>
        </w:tc>
        <w:tc>
          <w:tcPr>
            <w:tcW w:w="0" w:type="auto"/>
          </w:tcPr>
          <w:p w14:paraId="20E22F39" w14:textId="77777777" w:rsidR="0031634C" w:rsidRDefault="00BD6BAD">
            <w:pPr>
              <w:pStyle w:val="Compact"/>
            </w:pPr>
            <w:r>
              <w:t>0.1%</w:t>
            </w:r>
          </w:p>
        </w:tc>
        <w:tc>
          <w:tcPr>
            <w:tcW w:w="0" w:type="auto"/>
          </w:tcPr>
          <w:p w14:paraId="203A6E2F" w14:textId="77777777" w:rsidR="0031634C" w:rsidRDefault="00BD6BAD">
            <w:pPr>
              <w:pStyle w:val="Compact"/>
            </w:pPr>
            <w:r>
              <w:t>1.9%</w:t>
            </w:r>
          </w:p>
        </w:tc>
      </w:tr>
      <w:tr w:rsidR="0031634C" w14:paraId="7F25C17D" w14:textId="77777777">
        <w:tc>
          <w:tcPr>
            <w:tcW w:w="0" w:type="auto"/>
          </w:tcPr>
          <w:p w14:paraId="63111176" w14:textId="77777777" w:rsidR="0031634C" w:rsidRDefault="00BD6BAD">
            <w:pPr>
              <w:pStyle w:val="Compact"/>
            </w:pPr>
            <w:r>
              <w:t>SRT</w:t>
            </w:r>
          </w:p>
        </w:tc>
        <w:tc>
          <w:tcPr>
            <w:tcW w:w="0" w:type="auto"/>
          </w:tcPr>
          <w:p w14:paraId="20D7C7FE" w14:textId="77777777" w:rsidR="0031634C" w:rsidRDefault="00BD6BAD">
            <w:pPr>
              <w:pStyle w:val="Compact"/>
            </w:pPr>
            <w:r>
              <w:t>65+</w:t>
            </w:r>
          </w:p>
        </w:tc>
        <w:tc>
          <w:tcPr>
            <w:tcW w:w="0" w:type="auto"/>
          </w:tcPr>
          <w:p w14:paraId="112012E0" w14:textId="77777777" w:rsidR="0031634C" w:rsidRDefault="00BD6BAD">
            <w:pPr>
              <w:pStyle w:val="Compact"/>
            </w:pPr>
            <w:r>
              <w:t>72</w:t>
            </w:r>
          </w:p>
        </w:tc>
        <w:tc>
          <w:tcPr>
            <w:tcW w:w="0" w:type="auto"/>
          </w:tcPr>
          <w:p w14:paraId="1680C650" w14:textId="77777777" w:rsidR="0031634C" w:rsidRDefault="00BD6BAD">
            <w:pPr>
              <w:pStyle w:val="Compact"/>
            </w:pPr>
            <w:r>
              <w:t>44.0 ± 70.5</w:t>
            </w:r>
          </w:p>
        </w:tc>
        <w:tc>
          <w:tcPr>
            <w:tcW w:w="0" w:type="auto"/>
          </w:tcPr>
          <w:p w14:paraId="6544A19C" w14:textId="77777777" w:rsidR="0031634C" w:rsidRDefault="00BD6BAD">
            <w:pPr>
              <w:pStyle w:val="Compact"/>
            </w:pPr>
            <w:r>
              <w:t>4.0 ± 2.5</w:t>
            </w:r>
          </w:p>
        </w:tc>
        <w:tc>
          <w:tcPr>
            <w:tcW w:w="0" w:type="auto"/>
          </w:tcPr>
          <w:p w14:paraId="14F8C081" w14:textId="77777777" w:rsidR="0031634C" w:rsidRDefault="00BD6BAD">
            <w:pPr>
              <w:pStyle w:val="Compact"/>
            </w:pPr>
            <w:r>
              <w:t>0.96 ± 0.04</w:t>
            </w:r>
          </w:p>
        </w:tc>
        <w:tc>
          <w:tcPr>
            <w:tcW w:w="0" w:type="auto"/>
          </w:tcPr>
          <w:p w14:paraId="25FDDEBF" w14:textId="77777777" w:rsidR="0031634C" w:rsidRDefault="00BD6BAD">
            <w:pPr>
              <w:pStyle w:val="Compact"/>
            </w:pPr>
            <w:r>
              <w:t>0.0%</w:t>
            </w:r>
          </w:p>
        </w:tc>
        <w:tc>
          <w:tcPr>
            <w:tcW w:w="0" w:type="auto"/>
          </w:tcPr>
          <w:p w14:paraId="1756FC9D" w14:textId="77777777" w:rsidR="0031634C" w:rsidRDefault="00BD6BAD">
            <w:pPr>
              <w:pStyle w:val="Compact"/>
            </w:pPr>
            <w:r>
              <w:t>0.0%</w:t>
            </w:r>
          </w:p>
        </w:tc>
      </w:tr>
      <w:tr w:rsidR="0031634C" w14:paraId="2ED833B6" w14:textId="77777777">
        <w:tc>
          <w:tcPr>
            <w:tcW w:w="0" w:type="auto"/>
          </w:tcPr>
          <w:p w14:paraId="667CC9ED" w14:textId="77777777" w:rsidR="0031634C" w:rsidRDefault="00BD6BAD">
            <w:pPr>
              <w:pStyle w:val="Compact"/>
            </w:pPr>
            <w:r>
              <w:t>MT</w:t>
            </w:r>
          </w:p>
        </w:tc>
        <w:tc>
          <w:tcPr>
            <w:tcW w:w="0" w:type="auto"/>
          </w:tcPr>
          <w:p w14:paraId="5C5B6A21" w14:textId="77777777" w:rsidR="0031634C" w:rsidRDefault="00BD6BAD">
            <w:pPr>
              <w:pStyle w:val="Compact"/>
            </w:pPr>
            <w:r>
              <w:t>&lt; 7</w:t>
            </w:r>
          </w:p>
        </w:tc>
        <w:tc>
          <w:tcPr>
            <w:tcW w:w="0" w:type="auto"/>
          </w:tcPr>
          <w:p w14:paraId="3A035672" w14:textId="77777777" w:rsidR="0031634C" w:rsidRDefault="00BD6BAD">
            <w:pPr>
              <w:pStyle w:val="Compact"/>
            </w:pPr>
            <w:r>
              <w:t>110</w:t>
            </w:r>
          </w:p>
        </w:tc>
        <w:tc>
          <w:tcPr>
            <w:tcW w:w="0" w:type="auto"/>
          </w:tcPr>
          <w:p w14:paraId="2D1820D1" w14:textId="77777777" w:rsidR="0031634C" w:rsidRDefault="00BD6BAD">
            <w:pPr>
              <w:pStyle w:val="Compact"/>
            </w:pPr>
            <w:r>
              <w:t>119.3 ± 161.1</w:t>
            </w:r>
          </w:p>
        </w:tc>
        <w:tc>
          <w:tcPr>
            <w:tcW w:w="0" w:type="auto"/>
          </w:tcPr>
          <w:p w14:paraId="11AFBDC2" w14:textId="77777777" w:rsidR="0031634C" w:rsidRDefault="00BD6BAD">
            <w:pPr>
              <w:pStyle w:val="Compact"/>
            </w:pPr>
            <w:r>
              <w:t>8.5 ± 6.4</w:t>
            </w:r>
          </w:p>
        </w:tc>
        <w:tc>
          <w:tcPr>
            <w:tcW w:w="0" w:type="auto"/>
          </w:tcPr>
          <w:p w14:paraId="1E0F6810" w14:textId="77777777" w:rsidR="0031634C" w:rsidRDefault="00BD6BAD">
            <w:pPr>
              <w:pStyle w:val="Compact"/>
            </w:pPr>
            <w:r>
              <w:t>0.95 ± 0.04</w:t>
            </w:r>
          </w:p>
        </w:tc>
        <w:tc>
          <w:tcPr>
            <w:tcW w:w="0" w:type="auto"/>
          </w:tcPr>
          <w:p w14:paraId="5017E436" w14:textId="77777777" w:rsidR="0031634C" w:rsidRDefault="00BD6BAD">
            <w:pPr>
              <w:pStyle w:val="Compact"/>
            </w:pPr>
            <w:r>
              <w:t>0.0%</w:t>
            </w:r>
          </w:p>
        </w:tc>
        <w:tc>
          <w:tcPr>
            <w:tcW w:w="0" w:type="auto"/>
          </w:tcPr>
          <w:p w14:paraId="3F9AC083" w14:textId="77777777" w:rsidR="0031634C" w:rsidRDefault="00BD6BAD">
            <w:pPr>
              <w:pStyle w:val="Compact"/>
            </w:pPr>
            <w:r>
              <w:t>0.0%</w:t>
            </w:r>
          </w:p>
        </w:tc>
      </w:tr>
      <w:tr w:rsidR="0031634C" w14:paraId="21CA444B" w14:textId="77777777">
        <w:tc>
          <w:tcPr>
            <w:tcW w:w="0" w:type="auto"/>
          </w:tcPr>
          <w:p w14:paraId="3744A9F4" w14:textId="77777777" w:rsidR="0031634C" w:rsidRDefault="00BD6BAD">
            <w:pPr>
              <w:pStyle w:val="Compact"/>
            </w:pPr>
            <w:r>
              <w:t>MT</w:t>
            </w:r>
          </w:p>
        </w:tc>
        <w:tc>
          <w:tcPr>
            <w:tcW w:w="0" w:type="auto"/>
          </w:tcPr>
          <w:p w14:paraId="6038D180" w14:textId="77777777" w:rsidR="0031634C" w:rsidRDefault="00BD6BAD">
            <w:pPr>
              <w:pStyle w:val="Compact"/>
            </w:pPr>
            <w:r>
              <w:t>7–12</w:t>
            </w:r>
          </w:p>
        </w:tc>
        <w:tc>
          <w:tcPr>
            <w:tcW w:w="0" w:type="auto"/>
          </w:tcPr>
          <w:p w14:paraId="7ECA0FDC" w14:textId="77777777" w:rsidR="0031634C" w:rsidRDefault="00BD6BAD">
            <w:pPr>
              <w:pStyle w:val="Compact"/>
            </w:pPr>
            <w:r>
              <w:t>117</w:t>
            </w:r>
          </w:p>
        </w:tc>
        <w:tc>
          <w:tcPr>
            <w:tcW w:w="0" w:type="auto"/>
          </w:tcPr>
          <w:p w14:paraId="28CF6E7F" w14:textId="77777777" w:rsidR="0031634C" w:rsidRDefault="00BD6BAD">
            <w:pPr>
              <w:pStyle w:val="Compact"/>
            </w:pPr>
            <w:r>
              <w:t>58.1 ± 97.3</w:t>
            </w:r>
          </w:p>
        </w:tc>
        <w:tc>
          <w:tcPr>
            <w:tcW w:w="0" w:type="auto"/>
          </w:tcPr>
          <w:p w14:paraId="38CED67A" w14:textId="77777777" w:rsidR="0031634C" w:rsidRDefault="00BD6BAD">
            <w:pPr>
              <w:pStyle w:val="Compact"/>
            </w:pPr>
            <w:r>
              <w:t>9.1 ± 13.2</w:t>
            </w:r>
          </w:p>
        </w:tc>
        <w:tc>
          <w:tcPr>
            <w:tcW w:w="0" w:type="auto"/>
          </w:tcPr>
          <w:p w14:paraId="7206E613" w14:textId="77777777" w:rsidR="0031634C" w:rsidRDefault="00BD6BAD">
            <w:pPr>
              <w:pStyle w:val="Compact"/>
            </w:pPr>
            <w:r>
              <w:t>0.95 ± 0.05</w:t>
            </w:r>
          </w:p>
        </w:tc>
        <w:tc>
          <w:tcPr>
            <w:tcW w:w="0" w:type="auto"/>
          </w:tcPr>
          <w:p w14:paraId="0DB56C5A" w14:textId="77777777" w:rsidR="0031634C" w:rsidRDefault="00BD6BAD">
            <w:pPr>
              <w:pStyle w:val="Compact"/>
            </w:pPr>
            <w:r>
              <w:t>0.0%</w:t>
            </w:r>
          </w:p>
        </w:tc>
        <w:tc>
          <w:tcPr>
            <w:tcW w:w="0" w:type="auto"/>
          </w:tcPr>
          <w:p w14:paraId="040A7F82" w14:textId="77777777" w:rsidR="0031634C" w:rsidRDefault="00BD6BAD">
            <w:pPr>
              <w:pStyle w:val="Compact"/>
            </w:pPr>
            <w:r>
              <w:t>1.7%</w:t>
            </w:r>
          </w:p>
        </w:tc>
      </w:tr>
      <w:tr w:rsidR="0031634C" w14:paraId="1CC370AC" w14:textId="77777777">
        <w:tc>
          <w:tcPr>
            <w:tcW w:w="0" w:type="auto"/>
          </w:tcPr>
          <w:p w14:paraId="67AAAF36" w14:textId="77777777" w:rsidR="0031634C" w:rsidRDefault="00BD6BAD">
            <w:pPr>
              <w:pStyle w:val="Compact"/>
            </w:pPr>
            <w:r>
              <w:t>MT</w:t>
            </w:r>
          </w:p>
        </w:tc>
        <w:tc>
          <w:tcPr>
            <w:tcW w:w="0" w:type="auto"/>
          </w:tcPr>
          <w:p w14:paraId="1A108CC7" w14:textId="77777777" w:rsidR="0031634C" w:rsidRDefault="00BD6BAD">
            <w:pPr>
              <w:pStyle w:val="Compact"/>
            </w:pPr>
            <w:r>
              <w:t>13–17</w:t>
            </w:r>
          </w:p>
        </w:tc>
        <w:tc>
          <w:tcPr>
            <w:tcW w:w="0" w:type="auto"/>
          </w:tcPr>
          <w:p w14:paraId="07F55FD3" w14:textId="77777777" w:rsidR="0031634C" w:rsidRDefault="00BD6BAD">
            <w:pPr>
              <w:pStyle w:val="Compact"/>
            </w:pPr>
            <w:r>
              <w:t>56</w:t>
            </w:r>
          </w:p>
        </w:tc>
        <w:tc>
          <w:tcPr>
            <w:tcW w:w="0" w:type="auto"/>
          </w:tcPr>
          <w:p w14:paraId="6B69D799" w14:textId="77777777" w:rsidR="0031634C" w:rsidRDefault="00BD6BAD">
            <w:pPr>
              <w:pStyle w:val="Compact"/>
            </w:pPr>
            <w:r>
              <w:t>34.7 ± 77.4</w:t>
            </w:r>
          </w:p>
        </w:tc>
        <w:tc>
          <w:tcPr>
            <w:tcW w:w="0" w:type="auto"/>
          </w:tcPr>
          <w:p w14:paraId="56810064" w14:textId="77777777" w:rsidR="0031634C" w:rsidRDefault="00BD6BAD">
            <w:pPr>
              <w:pStyle w:val="Compact"/>
            </w:pPr>
            <w:r>
              <w:t>7.0 ± 10.0</w:t>
            </w:r>
          </w:p>
        </w:tc>
        <w:tc>
          <w:tcPr>
            <w:tcW w:w="0" w:type="auto"/>
          </w:tcPr>
          <w:p w14:paraId="2DF8E741" w14:textId="77777777" w:rsidR="0031634C" w:rsidRDefault="00BD6BAD">
            <w:pPr>
              <w:pStyle w:val="Compact"/>
            </w:pPr>
            <w:r>
              <w:t>0.96 ± 0.04</w:t>
            </w:r>
          </w:p>
        </w:tc>
        <w:tc>
          <w:tcPr>
            <w:tcW w:w="0" w:type="auto"/>
          </w:tcPr>
          <w:p w14:paraId="40CC63CF" w14:textId="77777777" w:rsidR="0031634C" w:rsidRDefault="00BD6BAD">
            <w:pPr>
              <w:pStyle w:val="Compact"/>
            </w:pPr>
            <w:r>
              <w:t>0.0%</w:t>
            </w:r>
          </w:p>
        </w:tc>
        <w:tc>
          <w:tcPr>
            <w:tcW w:w="0" w:type="auto"/>
          </w:tcPr>
          <w:p w14:paraId="7C1DC2B4" w14:textId="77777777" w:rsidR="0031634C" w:rsidRDefault="00BD6BAD">
            <w:pPr>
              <w:pStyle w:val="Compact"/>
            </w:pPr>
            <w:r>
              <w:t>3.6%</w:t>
            </w:r>
          </w:p>
        </w:tc>
      </w:tr>
      <w:tr w:rsidR="0031634C" w14:paraId="513BDF5A" w14:textId="77777777">
        <w:tc>
          <w:tcPr>
            <w:tcW w:w="0" w:type="auto"/>
          </w:tcPr>
          <w:p w14:paraId="10C644F0" w14:textId="77777777" w:rsidR="0031634C" w:rsidRDefault="00BD6BAD">
            <w:pPr>
              <w:pStyle w:val="Compact"/>
            </w:pPr>
            <w:r>
              <w:t>MT</w:t>
            </w:r>
          </w:p>
        </w:tc>
        <w:tc>
          <w:tcPr>
            <w:tcW w:w="0" w:type="auto"/>
          </w:tcPr>
          <w:p w14:paraId="214F657C" w14:textId="77777777" w:rsidR="0031634C" w:rsidRDefault="00BD6BAD">
            <w:pPr>
              <w:pStyle w:val="Compact"/>
            </w:pPr>
            <w:r>
              <w:t>18–30</w:t>
            </w:r>
          </w:p>
        </w:tc>
        <w:tc>
          <w:tcPr>
            <w:tcW w:w="0" w:type="auto"/>
          </w:tcPr>
          <w:p w14:paraId="7DF505A8" w14:textId="77777777" w:rsidR="0031634C" w:rsidRDefault="00BD6BAD">
            <w:pPr>
              <w:pStyle w:val="Compact"/>
            </w:pPr>
            <w:r>
              <w:t>1297</w:t>
            </w:r>
          </w:p>
        </w:tc>
        <w:tc>
          <w:tcPr>
            <w:tcW w:w="0" w:type="auto"/>
          </w:tcPr>
          <w:p w14:paraId="3BE70667" w14:textId="77777777" w:rsidR="0031634C" w:rsidRDefault="00BD6BAD">
            <w:pPr>
              <w:pStyle w:val="Compact"/>
            </w:pPr>
            <w:r>
              <w:t>15.7 ± 38.2</w:t>
            </w:r>
          </w:p>
        </w:tc>
        <w:tc>
          <w:tcPr>
            <w:tcW w:w="0" w:type="auto"/>
          </w:tcPr>
          <w:p w14:paraId="28ED6760" w14:textId="77777777" w:rsidR="0031634C" w:rsidRDefault="00BD6BAD">
            <w:pPr>
              <w:pStyle w:val="Compact"/>
            </w:pPr>
            <w:r>
              <w:t>3.8 ± 5.5</w:t>
            </w:r>
          </w:p>
        </w:tc>
        <w:tc>
          <w:tcPr>
            <w:tcW w:w="0" w:type="auto"/>
          </w:tcPr>
          <w:p w14:paraId="36A38C11" w14:textId="77777777" w:rsidR="0031634C" w:rsidRDefault="00BD6BAD">
            <w:pPr>
              <w:pStyle w:val="Compact"/>
            </w:pPr>
            <w:r>
              <w:t>0.94 ± 0.04</w:t>
            </w:r>
          </w:p>
        </w:tc>
        <w:tc>
          <w:tcPr>
            <w:tcW w:w="0" w:type="auto"/>
          </w:tcPr>
          <w:p w14:paraId="3B4138E0" w14:textId="77777777" w:rsidR="0031634C" w:rsidRDefault="00BD6BAD">
            <w:pPr>
              <w:pStyle w:val="Compact"/>
            </w:pPr>
            <w:r>
              <w:t>0.7%</w:t>
            </w:r>
          </w:p>
        </w:tc>
        <w:tc>
          <w:tcPr>
            <w:tcW w:w="0" w:type="auto"/>
          </w:tcPr>
          <w:p w14:paraId="502FB4E7" w14:textId="77777777" w:rsidR="0031634C" w:rsidRDefault="00BD6BAD">
            <w:pPr>
              <w:pStyle w:val="Compact"/>
            </w:pPr>
            <w:r>
              <w:t>0.8%</w:t>
            </w:r>
          </w:p>
        </w:tc>
      </w:tr>
      <w:tr w:rsidR="0031634C" w14:paraId="560105DA" w14:textId="77777777">
        <w:tc>
          <w:tcPr>
            <w:tcW w:w="0" w:type="auto"/>
          </w:tcPr>
          <w:p w14:paraId="00F46CF2" w14:textId="77777777" w:rsidR="0031634C" w:rsidRDefault="00BD6BAD">
            <w:pPr>
              <w:pStyle w:val="Compact"/>
            </w:pPr>
            <w:r>
              <w:t>MT</w:t>
            </w:r>
          </w:p>
        </w:tc>
        <w:tc>
          <w:tcPr>
            <w:tcW w:w="0" w:type="auto"/>
          </w:tcPr>
          <w:p w14:paraId="3C042CF2" w14:textId="77777777" w:rsidR="0031634C" w:rsidRDefault="00BD6BAD">
            <w:pPr>
              <w:pStyle w:val="Compact"/>
            </w:pPr>
            <w:r>
              <w:t>65+</w:t>
            </w:r>
          </w:p>
        </w:tc>
        <w:tc>
          <w:tcPr>
            <w:tcW w:w="0" w:type="auto"/>
          </w:tcPr>
          <w:p w14:paraId="073D2020" w14:textId="77777777" w:rsidR="0031634C" w:rsidRDefault="00BD6BAD">
            <w:pPr>
              <w:pStyle w:val="Compact"/>
            </w:pPr>
            <w:r>
              <w:t>72</w:t>
            </w:r>
          </w:p>
        </w:tc>
        <w:tc>
          <w:tcPr>
            <w:tcW w:w="0" w:type="auto"/>
          </w:tcPr>
          <w:p w14:paraId="4F063341" w14:textId="77777777" w:rsidR="0031634C" w:rsidRDefault="00BD6BAD">
            <w:pPr>
              <w:pStyle w:val="Compact"/>
            </w:pPr>
            <w:r>
              <w:t>67.0 ± 107.4</w:t>
            </w:r>
          </w:p>
        </w:tc>
        <w:tc>
          <w:tcPr>
            <w:tcW w:w="0" w:type="auto"/>
          </w:tcPr>
          <w:p w14:paraId="3BE93754" w14:textId="77777777" w:rsidR="0031634C" w:rsidRDefault="00BD6BAD">
            <w:pPr>
              <w:pStyle w:val="Compact"/>
            </w:pPr>
            <w:r>
              <w:t>4.9 ± 5.7</w:t>
            </w:r>
          </w:p>
        </w:tc>
        <w:tc>
          <w:tcPr>
            <w:tcW w:w="0" w:type="auto"/>
          </w:tcPr>
          <w:p w14:paraId="7CFC6EDF" w14:textId="77777777" w:rsidR="0031634C" w:rsidRDefault="00BD6BAD">
            <w:pPr>
              <w:pStyle w:val="Compact"/>
            </w:pPr>
            <w:r>
              <w:t>0.95 ± 0.04</w:t>
            </w:r>
          </w:p>
        </w:tc>
        <w:tc>
          <w:tcPr>
            <w:tcW w:w="0" w:type="auto"/>
          </w:tcPr>
          <w:p w14:paraId="7B366DA6" w14:textId="77777777" w:rsidR="0031634C" w:rsidRDefault="00BD6BAD">
            <w:pPr>
              <w:pStyle w:val="Compact"/>
            </w:pPr>
            <w:r>
              <w:t>0.0%</w:t>
            </w:r>
          </w:p>
        </w:tc>
        <w:tc>
          <w:tcPr>
            <w:tcW w:w="0" w:type="auto"/>
          </w:tcPr>
          <w:p w14:paraId="72197742" w14:textId="77777777" w:rsidR="0031634C" w:rsidRDefault="00BD6BAD">
            <w:pPr>
              <w:pStyle w:val="Compact"/>
            </w:pPr>
            <w:r>
              <w:t>1.4%</w:t>
            </w:r>
          </w:p>
        </w:tc>
      </w:tr>
    </w:tbl>
    <w:p w14:paraId="004A652D" w14:textId="77777777" w:rsidR="0031634C" w:rsidRDefault="00BD6BAD">
      <w:pPr>
        <w:pStyle w:val="a0"/>
      </w:pPr>
      <w:r>
        <w:rPr>
          <w:i/>
          <w:iCs/>
        </w:rPr>
        <w:lastRenderedPageBreak/>
        <w:t>Note.</w:t>
      </w:r>
      <w:r>
        <w:t xml:space="preserve"> </w:t>
      </w:r>
      <w:r>
        <w:t xml:space="preserve">RMSE = root mean squared error between 19 model-implied and empirical quantiles; MAPE = mean absolute percentage error; Coverage (.90) = proportion of observations within 90% posterior predictive intervals; PP </w:t>
      </w:r>
      <w:r>
        <w:rPr>
          <w:i/>
          <w:iCs/>
        </w:rPr>
        <w:t>p</w:t>
      </w:r>
      <w:r>
        <w:t xml:space="preserve"> </w:t>
      </w:r>
      <w:r>
        <w:rPr>
          <w:i/>
          <w:iCs/>
        </w:rPr>
        <w:t>T</w:t>
      </w:r>
      <w:r>
        <w:rPr>
          <w:vertAlign w:val="subscript"/>
        </w:rPr>
        <w:t>min</w:t>
      </w:r>
      <w:r>
        <w:t xml:space="preserve"> and PP </w:t>
      </w:r>
      <w:r>
        <w:rPr>
          <w:i/>
          <w:iCs/>
        </w:rPr>
        <w:t>p</w:t>
      </w:r>
      <w:r>
        <w:t xml:space="preserve"> </w:t>
      </w:r>
      <w:r>
        <w:rPr>
          <w:i/>
          <w:iCs/>
        </w:rPr>
        <w:t>T</w:t>
      </w:r>
      <w:r>
        <w:rPr>
          <w:vertAlign w:val="subscript"/>
        </w:rPr>
        <w:t>sd</w:t>
      </w:r>
      <w:r>
        <w:t xml:space="preserve"> = percentage of participan</w:t>
      </w:r>
      <w:r>
        <w:t xml:space="preserve">ts with extreme posterior predictive </w:t>
      </w:r>
      <w:r>
        <w:rPr>
          <w:i/>
          <w:iCs/>
        </w:rPr>
        <w:t>p</w:t>
      </w:r>
      <w:r>
        <w:t xml:space="preserve">-values (&lt; .05 or &gt; .95) for minimum RT and RT standard deviation, respectively. Values are </w:t>
      </w:r>
      <w:r>
        <w:rPr>
          <w:i/>
          <w:iCs/>
        </w:rPr>
        <w:t>M</w:t>
      </w:r>
      <w:r>
        <w:t xml:space="preserve"> ± </w:t>
      </w:r>
      <w:r>
        <w:rPr>
          <w:i/>
          <w:iCs/>
        </w:rPr>
        <w:t>SD</w:t>
      </w:r>
      <w:r>
        <w:t>.</w:t>
      </w:r>
    </w:p>
    <w:p w14:paraId="41180ED1" w14:textId="77777777" w:rsidR="0031634C" w:rsidRDefault="00BD6BAD">
      <w:pPr>
        <w:pStyle w:val="a0"/>
      </w:pPr>
      <w:r>
        <w:t>Following model validation, the six posterior-median parameter estimates per participant (</w:t>
      </w:r>
      <w:r>
        <w:rPr>
          <w:i/>
          <w:iCs/>
        </w:rPr>
        <w:t>t</w:t>
      </w:r>
      <w:r>
        <w:t>₀</w:t>
      </w:r>
      <w:r>
        <w:t>, λ, κ for SRT and MT) wer</w:t>
      </w:r>
      <w:r>
        <w:t>e extracted for subsequent analyses. Because individual estimates are stabilized by hierarchical shrinkage toward age-group means, they carry less within-group variance than unconstrained maximum likelihood estimates would. The analyses that follow—correla</w:t>
      </w:r>
      <w:r>
        <w:t xml:space="preserve">tions, ANOVA, and post-hoc comparisons—therefore characterize group-level distributional properties of the Weibull parameters rather than individual cognitive architectures. The group-level comparisons themselves are robust, because shrinkage is symmetric </w:t>
      </w:r>
      <w:r>
        <w:t>around each group’s mean and does not bias the central tendency of the group distribution.</w:t>
      </w:r>
    </w:p>
    <w:p w14:paraId="52FD4CDB" w14:textId="77777777" w:rsidR="0031634C" w:rsidRDefault="00BD6BAD">
      <w:pPr>
        <w:pStyle w:val="3"/>
      </w:pPr>
      <w:bookmarkStart w:id="18" w:name="Xb4c025728f0d1b0c0f932c6b36f3267a447468f"/>
      <w:bookmarkEnd w:id="17"/>
      <w:r>
        <w:t>Correlation Structure of Weibull Parameters</w:t>
      </w:r>
    </w:p>
    <w:p w14:paraId="5A7A491F" w14:textId="77777777" w:rsidR="0031634C" w:rsidRDefault="00BD6BAD">
      <w:pPr>
        <w:pStyle w:val="FirstParagraph"/>
      </w:pPr>
      <w:r>
        <w:t>Overall Pearson correlations among the six parameters were generally moderate to strong, reflecting in part the shared de</w:t>
      </w:r>
      <w:r>
        <w:t>velopmental trends (Figure 5, Panel A). The strongest overall association was between λ</w:t>
      </w:r>
      <w:r>
        <w:rPr>
          <w:vertAlign w:val="subscript"/>
        </w:rPr>
        <w:t>SRT</w:t>
      </w:r>
      <w:r>
        <w:t xml:space="preserve"> and λ</w:t>
      </w:r>
      <w:r>
        <w:rPr>
          <w:vertAlign w:val="subscript"/>
        </w:rPr>
        <w:t>MT</w:t>
      </w:r>
      <w:r>
        <w:t xml:space="preserve"> (</w:t>
      </w:r>
      <w:r>
        <w:rPr>
          <w:i/>
          <w:iCs/>
        </w:rPr>
        <w:t>r</w:t>
      </w:r>
      <w:r>
        <w:t xml:space="preserve"> = .66, </w:t>
      </w:r>
      <w:r>
        <w:rPr>
          <w:i/>
          <w:iCs/>
        </w:rPr>
        <w:t>p</w:t>
      </w:r>
      <w:r>
        <w:t xml:space="preserve"> &lt; .001), followed by λ</w:t>
      </w:r>
      <w:r>
        <w:rPr>
          <w:vertAlign w:val="subscript"/>
        </w:rPr>
        <w:t>SRT</w:t>
      </w:r>
      <w:r>
        <w:t xml:space="preserve"> and </w:t>
      </w:r>
      <w:r>
        <w:rPr>
          <w:i/>
          <w:iCs/>
        </w:rPr>
        <w:t>t</w:t>
      </w:r>
      <w:r>
        <w:t>₀</w:t>
      </w:r>
      <w:r>
        <w:rPr>
          <w:vertAlign w:val="subscript"/>
        </w:rPr>
        <w:t>MT</w:t>
      </w:r>
      <w:r>
        <w:t xml:space="preserve"> (</w:t>
      </w:r>
      <w:r>
        <w:rPr>
          <w:i/>
          <w:iCs/>
        </w:rPr>
        <w:t>r</w:t>
      </w:r>
      <w:r>
        <w:t xml:space="preserve"> = .55, </w:t>
      </w:r>
      <w:r>
        <w:rPr>
          <w:i/>
          <w:iCs/>
        </w:rPr>
        <w:t>p</w:t>
      </w:r>
      <w:r>
        <w:t xml:space="preserve"> &lt; .001) and </w:t>
      </w:r>
      <w:r>
        <w:rPr>
          <w:i/>
          <w:iCs/>
        </w:rPr>
        <w:t>t</w:t>
      </w:r>
      <w:r>
        <w:t>₀</w:t>
      </w:r>
      <w:r>
        <w:rPr>
          <w:vertAlign w:val="subscript"/>
        </w:rPr>
        <w:t>MT</w:t>
      </w:r>
      <w:r>
        <w:t xml:space="preserve"> and λ</w:t>
      </w:r>
      <w:r>
        <w:rPr>
          <w:vertAlign w:val="subscript"/>
        </w:rPr>
        <w:t>MT</w:t>
      </w:r>
      <w:r>
        <w:t xml:space="preserve"> (</w:t>
      </w:r>
      <w:r>
        <w:rPr>
          <w:i/>
          <w:iCs/>
        </w:rPr>
        <w:t>r</w:t>
      </w:r>
      <w:r>
        <w:t xml:space="preserve"> = .61, </w:t>
      </w:r>
      <w:r>
        <w:rPr>
          <w:i/>
          <w:iCs/>
        </w:rPr>
        <w:t>p</w:t>
      </w:r>
      <w:r>
        <w:t xml:space="preserve"> &lt; .001). After controlling for continuous age, the partial co</w:t>
      </w:r>
      <w:r>
        <w:t>rrelation matrix revealed a nearly identical pattern (Figure 5, Panel B), indicating that the covariance structure is not merely an artifact of shared age trends. Cross-measure correlations between same-type parameters remained moderate after partialing ag</w:t>
      </w:r>
      <w:r>
        <w:t>e: λ</w:t>
      </w:r>
      <w:r>
        <w:rPr>
          <w:vertAlign w:val="subscript"/>
        </w:rPr>
        <w:t>SRT</w:t>
      </w:r>
      <w:r>
        <w:t xml:space="preserve"> and λ</w:t>
      </w:r>
      <w:r>
        <w:rPr>
          <w:vertAlign w:val="subscript"/>
        </w:rPr>
        <w:t>MT</w:t>
      </w:r>
      <w:r>
        <w:t xml:space="preserve"> (</w:t>
      </w:r>
      <w:r>
        <w:rPr>
          <w:i/>
          <w:iCs/>
        </w:rPr>
        <w:t>r</w:t>
      </w:r>
      <w:r>
        <w:rPr>
          <w:vertAlign w:val="subscript"/>
        </w:rPr>
        <w:t>partial</w:t>
      </w:r>
      <w:r>
        <w:t xml:space="preserve"> = .66, </w:t>
      </w:r>
      <w:r>
        <w:rPr>
          <w:i/>
          <w:iCs/>
        </w:rPr>
        <w:t>p</w:t>
      </w:r>
      <w:r>
        <w:t xml:space="preserve"> &lt; .001) and </w:t>
      </w:r>
      <w:r>
        <w:rPr>
          <w:i/>
          <w:iCs/>
        </w:rPr>
        <w:t>t</w:t>
      </w:r>
      <w:r>
        <w:t>₀</w:t>
      </w:r>
      <w:r>
        <w:rPr>
          <w:vertAlign w:val="subscript"/>
        </w:rPr>
        <w:t>SRT</w:t>
      </w:r>
      <w:r>
        <w:t xml:space="preserve"> and </w:t>
      </w:r>
      <w:r>
        <w:rPr>
          <w:i/>
          <w:iCs/>
        </w:rPr>
        <w:t>t</w:t>
      </w:r>
      <w:r>
        <w:t>₀</w:t>
      </w:r>
      <w:r>
        <w:rPr>
          <w:vertAlign w:val="subscript"/>
        </w:rPr>
        <w:t>MT</w:t>
      </w:r>
      <w:r>
        <w:t xml:space="preserve"> (</w:t>
      </w:r>
      <w:r>
        <w:rPr>
          <w:i/>
          <w:iCs/>
        </w:rPr>
        <w:t>r</w:t>
      </w:r>
      <w:r>
        <w:rPr>
          <w:vertAlign w:val="subscript"/>
        </w:rPr>
        <w:t>partial</w:t>
      </w:r>
      <w:r>
        <w:t xml:space="preserve"> = .49, </w:t>
      </w:r>
      <w:r>
        <w:rPr>
          <w:i/>
          <w:iCs/>
        </w:rPr>
        <w:t>p</w:t>
      </w:r>
      <w:r>
        <w:t xml:space="preserve"> &lt; .001), whereas κ</w:t>
      </w:r>
      <w:r>
        <w:rPr>
          <w:vertAlign w:val="subscript"/>
        </w:rPr>
        <w:t>SRT</w:t>
      </w:r>
      <w:r>
        <w:t xml:space="preserve"> and κ</w:t>
      </w:r>
      <w:r>
        <w:rPr>
          <w:vertAlign w:val="subscript"/>
        </w:rPr>
        <w:t>MT</w:t>
      </w:r>
      <w:r>
        <w:t xml:space="preserve"> showed only a small association (</w:t>
      </w:r>
      <w:r>
        <w:rPr>
          <w:i/>
          <w:iCs/>
        </w:rPr>
        <w:t>r</w:t>
      </w:r>
      <w:r>
        <w:rPr>
          <w:vertAlign w:val="subscript"/>
        </w:rPr>
        <w:t>partial</w:t>
      </w:r>
      <w:r>
        <w:t xml:space="preserve"> = .18, </w:t>
      </w:r>
      <w:r>
        <w:rPr>
          <w:i/>
          <w:iCs/>
        </w:rPr>
        <w:t>p</w:t>
      </w:r>
      <w:r>
        <w:t xml:space="preserve"> &lt; .001). Within-measure </w:t>
      </w:r>
      <w:r>
        <w:t xml:space="preserve">correlations among different parameter types were moderate for the </w:t>
      </w:r>
      <w:r>
        <w:rPr>
          <w:i/>
          <w:iCs/>
        </w:rPr>
        <w:t>t</w:t>
      </w:r>
      <w:r>
        <w:t>₀–</w:t>
      </w:r>
      <w:r>
        <w:t>κ pairs (</w:t>
      </w:r>
      <w:r>
        <w:rPr>
          <w:i/>
          <w:iCs/>
        </w:rPr>
        <w:t>r</w:t>
      </w:r>
      <w:r>
        <w:rPr>
          <w:vertAlign w:val="subscript"/>
        </w:rPr>
        <w:t>partial</w:t>
      </w:r>
      <w:r>
        <w:t xml:space="preserve"> = −.52 for SRT; −.43 for MT) but negligible to small otherwise. To remove the confound of between-group mean differences entirely, the pooled within-group correlation m</w:t>
      </w:r>
      <w:r>
        <w:t xml:space="preserve">atrix was computed. This matrix attenuated most associations substantially: </w:t>
      </w:r>
      <w:r>
        <w:rPr>
          <w:i/>
          <w:iCs/>
        </w:rPr>
        <w:t>t</w:t>
      </w:r>
      <w:r>
        <w:t>₀</w:t>
      </w:r>
      <w:r>
        <w:rPr>
          <w:vertAlign w:val="subscript"/>
        </w:rPr>
        <w:t>SRT</w:t>
      </w:r>
      <w:r>
        <w:t xml:space="preserve"> and λ</w:t>
      </w:r>
      <w:r>
        <w:rPr>
          <w:vertAlign w:val="subscript"/>
        </w:rPr>
        <w:t>SRT</w:t>
      </w:r>
      <w:r>
        <w:t xml:space="preserve"> dropped from </w:t>
      </w:r>
      <w:r>
        <w:rPr>
          <w:i/>
          <w:iCs/>
        </w:rPr>
        <w:t>r</w:t>
      </w:r>
      <w:r>
        <w:t xml:space="preserve"> = .42 to </w:t>
      </w:r>
      <w:r>
        <w:rPr>
          <w:i/>
          <w:iCs/>
        </w:rPr>
        <w:t>r</w:t>
      </w:r>
      <w:r>
        <w:rPr>
          <w:vertAlign w:val="subscript"/>
        </w:rPr>
        <w:t>pooled</w:t>
      </w:r>
      <w:r>
        <w:t xml:space="preserve"> = .07; λ</w:t>
      </w:r>
      <w:r>
        <w:rPr>
          <w:vertAlign w:val="subscript"/>
        </w:rPr>
        <w:t>SRT</w:t>
      </w:r>
      <w:r>
        <w:t xml:space="preserve"> and λ</w:t>
      </w:r>
      <w:r>
        <w:rPr>
          <w:vertAlign w:val="subscript"/>
        </w:rPr>
        <w:t>MT</w:t>
      </w:r>
      <w:r>
        <w:t xml:space="preserve"> dropped from </w:t>
      </w:r>
      <w:r>
        <w:rPr>
          <w:i/>
          <w:iCs/>
        </w:rPr>
        <w:t>r</w:t>
      </w:r>
      <w:r>
        <w:t xml:space="preserve"> = .66 to </w:t>
      </w:r>
      <w:r>
        <w:rPr>
          <w:i/>
          <w:iCs/>
        </w:rPr>
        <w:t>r</w:t>
      </w:r>
      <w:r>
        <w:rPr>
          <w:vertAlign w:val="subscript"/>
        </w:rPr>
        <w:t>pooled</w:t>
      </w:r>
      <w:r>
        <w:t xml:space="preserve"> = .22; and </w:t>
      </w:r>
      <w:r>
        <w:rPr>
          <w:i/>
          <w:iCs/>
        </w:rPr>
        <w:t>t</w:t>
      </w:r>
      <w:r>
        <w:t>₀</w:t>
      </w:r>
      <w:r>
        <w:rPr>
          <w:vertAlign w:val="subscript"/>
        </w:rPr>
        <w:t>SRT</w:t>
      </w:r>
      <w:r>
        <w:t xml:space="preserve"> and </w:t>
      </w:r>
      <w:r>
        <w:rPr>
          <w:i/>
          <w:iCs/>
        </w:rPr>
        <w:t>t</w:t>
      </w:r>
      <w:r>
        <w:t>₀</w:t>
      </w:r>
      <w:r>
        <w:rPr>
          <w:vertAlign w:val="subscript"/>
        </w:rPr>
        <w:t>MT</w:t>
      </w:r>
      <w:r>
        <w:t xml:space="preserve"> dropped from </w:t>
      </w:r>
      <w:r>
        <w:rPr>
          <w:i/>
          <w:iCs/>
        </w:rPr>
        <w:t>r</w:t>
      </w:r>
      <w:r>
        <w:t xml:space="preserve"> = .50 to </w:t>
      </w:r>
      <w:r>
        <w:rPr>
          <w:i/>
          <w:iCs/>
        </w:rPr>
        <w:t>r</w:t>
      </w:r>
      <w:r>
        <w:rPr>
          <w:vertAlign w:val="subscript"/>
        </w:rPr>
        <w:t>pooled</w:t>
      </w:r>
      <w:r>
        <w:t xml:space="preserve"> = .19. The strongest re</w:t>
      </w:r>
      <w:r>
        <w:t xml:space="preserve">sidual within-group association was between </w:t>
      </w:r>
      <w:r>
        <w:rPr>
          <w:i/>
          <w:iCs/>
        </w:rPr>
        <w:t>t</w:t>
      </w:r>
      <w:r>
        <w:t>₀</w:t>
      </w:r>
      <w:r>
        <w:rPr>
          <w:vertAlign w:val="subscript"/>
        </w:rPr>
        <w:t>SRT</w:t>
      </w:r>
      <w:r>
        <w:t xml:space="preserve"> and κ</w:t>
      </w:r>
      <w:r>
        <w:rPr>
          <w:vertAlign w:val="subscript"/>
        </w:rPr>
        <w:t>SRT</w:t>
      </w:r>
      <w:r>
        <w:t xml:space="preserve"> (</w:t>
      </w:r>
      <w:r>
        <w:rPr>
          <w:i/>
          <w:iCs/>
        </w:rPr>
        <w:t>r</w:t>
      </w:r>
      <w:r>
        <w:rPr>
          <w:vertAlign w:val="subscript"/>
        </w:rPr>
        <w:t>pooled</w:t>
      </w:r>
      <w:r>
        <w:t xml:space="preserve"> = −.48) and </w:t>
      </w:r>
      <w:r>
        <w:rPr>
          <w:i/>
          <w:iCs/>
        </w:rPr>
        <w:t>t</w:t>
      </w:r>
      <w:r>
        <w:t>₀</w:t>
      </w:r>
      <w:r>
        <w:rPr>
          <w:vertAlign w:val="subscript"/>
        </w:rPr>
        <w:t>MT</w:t>
      </w:r>
      <w:r>
        <w:t xml:space="preserve"> and κ</w:t>
      </w:r>
      <w:r>
        <w:rPr>
          <w:vertAlign w:val="subscript"/>
        </w:rPr>
        <w:t>MT</w:t>
      </w:r>
      <w:r>
        <w:t xml:space="preserve"> (</w:t>
      </w:r>
      <w:r>
        <w:rPr>
          <w:i/>
          <w:iCs/>
        </w:rPr>
        <w:t>r</w:t>
      </w:r>
      <w:r>
        <w:rPr>
          <w:vertAlign w:val="subscript"/>
        </w:rPr>
        <w:t>pooled</w:t>
      </w:r>
      <w:r>
        <w:t xml:space="preserve"> = −.35), suggesting a genuine individual-differences trade-off between peripheral latency and processing consistency that is not driven by age. Overall, t</w:t>
      </w:r>
      <w:r>
        <w:t>his pattern indicates that the six parameters organize primarily by processing stage rather than by response measure, with each parameter type (shift, scale, shape) capturing a distinct processing dimension that is only weakly shared across SRT and MT afte</w:t>
      </w:r>
      <w:r>
        <w:t>r removing developmental trends.</w:t>
      </w:r>
    </w:p>
    <w:p w14:paraId="205402C1" w14:textId="77777777" w:rsidR="0031634C" w:rsidRDefault="00BD6BAD">
      <w:pPr>
        <w:pStyle w:val="a0"/>
      </w:pPr>
      <w:r>
        <w:t xml:space="preserve">Box’s </w:t>
      </w:r>
      <w:r>
        <w:rPr>
          <w:i/>
          <w:iCs/>
        </w:rPr>
        <w:t>M</w:t>
      </w:r>
      <w:r>
        <w:t xml:space="preserve"> test indicated significant heterogeneity of within-group covariance matrices, </w:t>
      </w:r>
      <w:r>
        <w:rPr>
          <w:i/>
          <w:iCs/>
        </w:rPr>
        <w:t>M</w:t>
      </w:r>
      <w:r>
        <w:t xml:space="preserve"> = 8006.76, </w:t>
      </w:r>
      <w:r>
        <w:rPr>
          <w:i/>
          <w:iCs/>
        </w:rPr>
        <w:t>F</w:t>
      </w:r>
      <w:r>
        <w:t xml:space="preserve">(84, 96845746.3) = 92.78, </w:t>
      </w:r>
      <w:r>
        <w:rPr>
          <w:i/>
          <w:iCs/>
        </w:rPr>
        <w:t>p</w:t>
      </w:r>
      <w:r>
        <w:t xml:space="preserve"> &lt; .001. Given the test’s sensitivity to large samples and the extreme denominator degrees of fr</w:t>
      </w:r>
      <w:r>
        <w:t>eedom, the practical significance of this heterogeneity was evaluated by inspecting the within-group matrices directly (see Supplementary Materials). The correlation structure was broadly stable across the three middle groups (7–12, 13–17, 18–30) but showe</w:t>
      </w:r>
      <w:r>
        <w:t>d stronger negative associations between shift and shape parameters in the youngest children and weaker cross-parameter associations in older adults, partially consistent with age-related dedifferentiation at the extremes of the lifespan. The attenuation o</w:t>
      </w:r>
      <w:r>
        <w:t>f inter-parameter correlations after removing age-related variance confirmed that the apparent covariance structure in the overall matrix was primarily a developmental confound rather than evidence for a stable latent factor, supporting the decision to ana</w:t>
      </w:r>
      <w:r>
        <w:t>lyze the six parameters individually.</w:t>
      </w:r>
    </w:p>
    <w:p w14:paraId="51FA6D72" w14:textId="77777777" w:rsidR="0031634C" w:rsidRDefault="00BD6BAD">
      <w:pPr>
        <w:pStyle w:val="3"/>
      </w:pPr>
      <w:bookmarkStart w:id="19" w:name="Xa7b1524521ce04f25cf932491f891c801ee26df"/>
      <w:bookmarkEnd w:id="18"/>
      <w:r>
        <w:t>Age-Group Comparisons of Weibull Parameters</w:t>
      </w:r>
    </w:p>
    <w:p w14:paraId="0F458542" w14:textId="77777777" w:rsidR="0031634C" w:rsidRDefault="00BD6BAD">
      <w:pPr>
        <w:pStyle w:val="FirstParagraph"/>
      </w:pPr>
      <w:r>
        <w:t xml:space="preserve">All six Weibull parameters showed significant omnibus age-group effects (Table 3; all Kruskal–Wallis tests confirmed, </w:t>
      </w:r>
      <w:r>
        <w:rPr>
          <w:i/>
          <w:iCs/>
        </w:rPr>
        <w:t>p</w:t>
      </w:r>
      <w:r>
        <w:t>s &lt; .001). The magnitude and pattern of these effects d</w:t>
      </w:r>
      <w:r>
        <w:t>iffered between SRT and MT in a theoretically informative way (Figure 3).</w:t>
      </w:r>
    </w:p>
    <w:p w14:paraId="7915FC74" w14:textId="77777777" w:rsidR="0031634C" w:rsidRDefault="00BD6BAD">
      <w:pPr>
        <w:pStyle w:val="a0"/>
      </w:pPr>
      <w:r>
        <w:lastRenderedPageBreak/>
        <w:t xml:space="preserve">For SRT, the scale parameter (λ) captured the most age-related variance, Welch’s </w:t>
      </w:r>
      <w:r>
        <w:rPr>
          <w:i/>
          <w:iCs/>
        </w:rPr>
        <w:t>F</w:t>
      </w:r>
      <w:r>
        <w:t xml:space="preserve">(4, 167.67) = 65.61, </w:t>
      </w:r>
      <w:r>
        <w:rPr>
          <w:i/>
          <w:iCs/>
        </w:rPr>
        <w:t>p</w:t>
      </w:r>
      <w:r>
        <w:t xml:space="preserve"> </w:t>
      </w:r>
      <w:r>
        <w:t>&lt; .001, η² = .451, a large effect. The shift parameter (</w:t>
      </w:r>
      <w:r>
        <w:rPr>
          <w:i/>
          <w:iCs/>
        </w:rPr>
        <w:t>t</w:t>
      </w:r>
      <w:r>
        <w:t>₀</w:t>
      </w:r>
      <w:r>
        <w:t xml:space="preserve">) also showed a large effect, Welch’s </w:t>
      </w:r>
      <w:r>
        <w:rPr>
          <w:i/>
          <w:iCs/>
        </w:rPr>
        <w:t>F</w:t>
      </w:r>
      <w:r>
        <w:t xml:space="preserve">(4, 172.36) = 118.61, </w:t>
      </w:r>
      <w:r>
        <w:rPr>
          <w:i/>
          <w:iCs/>
        </w:rPr>
        <w:t>p</w:t>
      </w:r>
      <w:r>
        <w:t xml:space="preserve"> &lt; .001, η² = .354. The shape parameter (κ) showed a medium effect, Welch’s </w:t>
      </w:r>
      <w:r>
        <w:rPr>
          <w:i/>
          <w:iCs/>
        </w:rPr>
        <w:t>F</w:t>
      </w:r>
      <w:r>
        <w:t xml:space="preserve">(4, 183.70) = 44.72, </w:t>
      </w:r>
      <w:r>
        <w:rPr>
          <w:i/>
          <w:iCs/>
        </w:rPr>
        <w:t>p</w:t>
      </w:r>
      <w:r>
        <w:t xml:space="preserve"> &lt; .001, η² = .075. The dominance of </w:t>
      </w:r>
      <w:r>
        <w:t>λ indicates that developmental and aging differences in stimulus-driven initiation are primarily driven by central processing efficiency—the speed with which participants accumulate evidence above the irreducible sensorimotor floor—rather than by the floor</w:t>
      </w:r>
      <w:r>
        <w:t xml:space="preserve"> itself.</w:t>
      </w:r>
    </w:p>
    <w:p w14:paraId="5B82F948" w14:textId="77777777" w:rsidR="0031634C" w:rsidRDefault="00BD6BAD">
      <w:pPr>
        <w:pStyle w:val="a0"/>
      </w:pPr>
      <w:r>
        <w:t>For MT, the pattern reversed. The shift parameter (</w:t>
      </w:r>
      <w:r>
        <w:rPr>
          <w:i/>
          <w:iCs/>
        </w:rPr>
        <w:t>t</w:t>
      </w:r>
      <w:r>
        <w:t>₀</w:t>
      </w:r>
      <w:r>
        <w:t xml:space="preserve">) captured the most variance, Welch’s </w:t>
      </w:r>
      <w:r>
        <w:rPr>
          <w:i/>
          <w:iCs/>
        </w:rPr>
        <w:t>F</w:t>
      </w:r>
      <w:r>
        <w:t xml:space="preserve">(4, 168.11) = 72.75, </w:t>
      </w:r>
      <w:r>
        <w:rPr>
          <w:i/>
          <w:iCs/>
        </w:rPr>
        <w:t>p</w:t>
      </w:r>
      <w:r>
        <w:t xml:space="preserve"> &lt; .001, η² = .440. Scale also showed a large effect (η² = .333), and shape showed a substantially larger effect than in SRT (η² = .2</w:t>
      </w:r>
      <w:r>
        <w:t xml:space="preserve">10 vs. .075). The dominance of </w:t>
      </w:r>
      <w:r>
        <w:rPr>
          <w:i/>
          <w:iCs/>
        </w:rPr>
        <w:t>t</w:t>
      </w:r>
      <w:r>
        <w:t>₀</w:t>
      </w:r>
      <w:r>
        <w:t xml:space="preserve"> for MT indicates that age-group differences in motor execution are driven primarily by biomechanical and peripheral neural constraints on the irreducible execution time, rather than by central processing efficiency. The la</w:t>
      </w:r>
      <w:r>
        <w:t>rger κ effect for MT than SRT suggests that the consistency of motor execution is more developmentally sensitive than the consistency of response initiation.</w:t>
      </w:r>
    </w:p>
    <w:p w14:paraId="4AA224D5" w14:textId="77777777" w:rsidR="0031634C" w:rsidRDefault="00BD6BAD">
      <w:pPr>
        <w:pStyle w:val="a0"/>
      </w:pPr>
      <w:r>
        <w:t>Games–Howell pairwise comparisons revealed that the youngest children (&lt; 7 years) deviated from ad</w:t>
      </w:r>
      <w:r>
        <w:t>ults through large effects across all three SRT parameters: elevated λ</w:t>
      </w:r>
      <w:r>
        <w:rPr>
          <w:vertAlign w:val="subscript"/>
        </w:rPr>
        <w:t>SRT</w:t>
      </w:r>
      <w:r>
        <w:t xml:space="preserve"> (</w:t>
      </w:r>
      <w:r>
        <w:rPr>
          <w:i/>
          <w:iCs/>
        </w:rPr>
        <w:t>d</w:t>
      </w:r>
      <w:r>
        <w:t xml:space="preserve"> = 1.58), elevated </w:t>
      </w:r>
      <w:r>
        <w:rPr>
          <w:i/>
          <w:iCs/>
        </w:rPr>
        <w:t>t</w:t>
      </w:r>
      <w:r>
        <w:t>₀</w:t>
      </w:r>
      <w:r>
        <w:rPr>
          <w:vertAlign w:val="subscript"/>
        </w:rPr>
        <w:t>SRT</w:t>
      </w:r>
      <w:r>
        <w:t xml:space="preserve"> (</w:t>
      </w:r>
      <w:r>
        <w:rPr>
          <w:i/>
          <w:iCs/>
        </w:rPr>
        <w:t>d</w:t>
      </w:r>
      <w:r>
        <w:t xml:space="preserve"> = 1.62), and reduced κ</w:t>
      </w:r>
      <w:r>
        <w:rPr>
          <w:vertAlign w:val="subscript"/>
        </w:rPr>
        <w:t>SRT</w:t>
      </w:r>
      <w:r>
        <w:t xml:space="preserve"> (</w:t>
      </w:r>
      <w:r>
        <w:rPr>
          <w:i/>
          <w:iCs/>
        </w:rPr>
        <w:t>d</w:t>
      </w:r>
      <w:r>
        <w:t xml:space="preserve"> = −1.03). The largest absolute deviation was in the shift parameter, but scale and shape both contributed substantially, in</w:t>
      </w:r>
      <w:r>
        <w:t>dicating that young children’s SRT slowing reflects a combination of slower peripheral processing, reduced central efficiency, and greater trial-to-trial inconsistency. Older adults (65+ years) deviated from adults through a partially overlapping but disti</w:t>
      </w:r>
      <w:r>
        <w:t xml:space="preserve">nguishable parametric profile: the largest effect was in </w:t>
      </w:r>
      <w:r>
        <w:rPr>
          <w:i/>
          <w:iCs/>
        </w:rPr>
        <w:t>t</w:t>
      </w:r>
      <w:r>
        <w:t>₀</w:t>
      </w:r>
      <w:r>
        <w:rPr>
          <w:vertAlign w:val="subscript"/>
        </w:rPr>
        <w:t>SRT</w:t>
      </w:r>
      <w:r>
        <w:t xml:space="preserve"> (</w:t>
      </w:r>
      <w:r>
        <w:rPr>
          <w:i/>
          <w:iCs/>
        </w:rPr>
        <w:t>d</w:t>
      </w:r>
      <w:r>
        <w:t xml:space="preserve"> = −1.85), followed by λ</w:t>
      </w:r>
      <w:r>
        <w:rPr>
          <w:vertAlign w:val="subscript"/>
        </w:rPr>
        <w:t>SRT</w:t>
      </w:r>
      <w:r>
        <w:t xml:space="preserve"> (</w:t>
      </w:r>
      <w:r>
        <w:rPr>
          <w:i/>
          <w:iCs/>
        </w:rPr>
        <w:t>d</w:t>
      </w:r>
      <w:r>
        <w:t xml:space="preserve"> = −0.96), with a moderate effect in κ</w:t>
      </w:r>
      <w:r>
        <w:rPr>
          <w:vertAlign w:val="subscript"/>
        </w:rPr>
        <w:t>SRT</w:t>
      </w:r>
      <w:r>
        <w:t xml:space="preserve"> (</w:t>
      </w:r>
      <w:r>
        <w:rPr>
          <w:i/>
          <w:iCs/>
        </w:rPr>
        <w:t>d</w:t>
      </w:r>
      <w:r>
        <w:t xml:space="preserve"> = 0.69). Critically, while both children and older adults showed large </w:t>
      </w:r>
      <w:r>
        <w:rPr>
          <w:i/>
          <w:iCs/>
        </w:rPr>
        <w:t>t</w:t>
      </w:r>
      <w:r>
        <w:t>₀</w:t>
      </w:r>
      <w:r>
        <w:t xml:space="preserve"> elevations relative to young adults, the s</w:t>
      </w:r>
      <w:r>
        <w:t>hape parameter clearly differentiated the two groups: children showed significantly lower κ than adults (</w:t>
      </w:r>
      <w:r>
        <w:rPr>
          <w:i/>
          <w:iCs/>
        </w:rPr>
        <w:t>d</w:t>
      </w:r>
      <w:r>
        <w:t xml:space="preserve"> = −1.03), indicating more right-skewed, inconsistent responding, whereas older adults showed lower κ than adults (</w:t>
      </w:r>
      <w:r>
        <w:rPr>
          <w:i/>
          <w:iCs/>
        </w:rPr>
        <w:t>d</w:t>
      </w:r>
      <w:r>
        <w:t xml:space="preserve"> = 0.69) but did not differ signif</w:t>
      </w:r>
      <w:r>
        <w:t>icantly from the youngest children (</w:t>
      </w:r>
      <w:r>
        <w:rPr>
          <w:i/>
          <w:iCs/>
        </w:rPr>
        <w:t>d</w:t>
      </w:r>
      <w:r>
        <w:t xml:space="preserve"> = −0.37, </w:t>
      </w:r>
      <w:r>
        <w:rPr>
          <w:i/>
          <w:iCs/>
        </w:rPr>
        <w:t>p</w:t>
      </w:r>
      <w:r>
        <w:t xml:space="preserve"> = .153). This partial dissociation—children differing from adults in both processing efficiency and consistency, older adults differing primarily in the sensorimotor floor and processing efficiency with rela</w:t>
      </w:r>
      <w:r>
        <w:t xml:space="preserve">tively preserved consistency—confirms that the U-shaped mean RT trajectory is a composite of distinct processing changes at the two developmental limbs. The developmental gradient was also evident in intermediate age groups: 7–12-year-olds showed moderate </w:t>
      </w:r>
      <w:r>
        <w:t>effects relative to adults in all three parameters (</w:t>
      </w:r>
      <w:r>
        <w:rPr>
          <w:i/>
          <w:iCs/>
        </w:rPr>
        <w:t>d</w:t>
      </w:r>
      <w:r>
        <w:rPr>
          <w:vertAlign w:val="subscript"/>
        </w:rPr>
        <w:t>t0</w:t>
      </w:r>
      <w:r>
        <w:t xml:space="preserve"> = 1.19, </w:t>
      </w:r>
      <w:r>
        <w:rPr>
          <w:i/>
          <w:iCs/>
        </w:rPr>
        <w:t>d</w:t>
      </w:r>
      <w:r>
        <w:rPr>
          <w:vertAlign w:val="subscript"/>
        </w:rPr>
        <w:t>λ</w:t>
      </w:r>
      <w:r>
        <w:t xml:space="preserve"> = 1.02, </w:t>
      </w:r>
      <w:r>
        <w:rPr>
          <w:i/>
          <w:iCs/>
        </w:rPr>
        <w:t>d</w:t>
      </w:r>
      <w:r>
        <w:rPr>
          <w:vertAlign w:val="subscript"/>
        </w:rPr>
        <w:t>κ</w:t>
      </w:r>
      <w:r>
        <w:t xml:space="preserve"> = −0.45), while adolescents (13–17) were closer to adult levels (</w:t>
      </w:r>
      <w:r>
        <w:rPr>
          <w:i/>
          <w:iCs/>
        </w:rPr>
        <w:t>d</w:t>
      </w:r>
      <w:r>
        <w:rPr>
          <w:vertAlign w:val="subscript"/>
        </w:rPr>
        <w:t>t0</w:t>
      </w:r>
      <w:r>
        <w:t xml:space="preserve"> = 0.83, </w:t>
      </w:r>
      <w:r>
        <w:rPr>
          <w:i/>
          <w:iCs/>
        </w:rPr>
        <w:t>d</w:t>
      </w:r>
      <w:r>
        <w:rPr>
          <w:vertAlign w:val="subscript"/>
        </w:rPr>
        <w:t>λ</w:t>
      </w:r>
      <w:r>
        <w:t xml:space="preserve"> = −0.51, </w:t>
      </w:r>
      <w:r>
        <w:rPr>
          <w:i/>
          <w:iCs/>
        </w:rPr>
        <w:t>d</w:t>
      </w:r>
      <w:r>
        <w:rPr>
          <w:vertAlign w:val="subscript"/>
        </w:rPr>
        <w:t>κ</w:t>
      </w:r>
      <w:r>
        <w:t xml:space="preserve"> = −0.51).</w:t>
      </w:r>
    </w:p>
    <w:p w14:paraId="496BEBE0" w14:textId="77777777" w:rsidR="0031634C" w:rsidRDefault="00BD6BAD">
      <w:pPr>
        <w:pStyle w:val="a0"/>
      </w:pPr>
      <w:r>
        <w:t>For MT, the dissociation was similarly pronounced. Older adults showed the l</w:t>
      </w:r>
      <w:r>
        <w:t xml:space="preserve">argest deviation in </w:t>
      </w:r>
      <w:r>
        <w:rPr>
          <w:i/>
          <w:iCs/>
        </w:rPr>
        <w:t>t</w:t>
      </w:r>
      <w:r>
        <w:t>₀</w:t>
      </w:r>
      <w:r>
        <w:rPr>
          <w:vertAlign w:val="subscript"/>
        </w:rPr>
        <w:t>MT</w:t>
      </w:r>
      <w:r>
        <w:t xml:space="preserve"> (</w:t>
      </w:r>
      <w:r>
        <w:rPr>
          <w:i/>
          <w:iCs/>
        </w:rPr>
        <w:t>d</w:t>
      </w:r>
      <w:r>
        <w:t xml:space="preserve"> = −1.69), consistent with peripheral motor slowing, followed by κ</w:t>
      </w:r>
      <w:r>
        <w:rPr>
          <w:vertAlign w:val="subscript"/>
        </w:rPr>
        <w:t>MT</w:t>
      </w:r>
      <w:r>
        <w:t xml:space="preserve"> (</w:t>
      </w:r>
      <w:r>
        <w:rPr>
          <w:i/>
          <w:iCs/>
        </w:rPr>
        <w:t>d</w:t>
      </w:r>
      <w:r>
        <w:t xml:space="preserve"> = 0.92) and λ</w:t>
      </w:r>
      <w:r>
        <w:rPr>
          <w:vertAlign w:val="subscript"/>
        </w:rPr>
        <w:t>MT</w:t>
      </w:r>
      <w:r>
        <w:t xml:space="preserve"> (</w:t>
      </w:r>
      <w:r>
        <w:rPr>
          <w:i/>
          <w:iCs/>
        </w:rPr>
        <w:t>d</w:t>
      </w:r>
      <w:r>
        <w:t xml:space="preserve"> = −0.86). The youngest children showed the largest MT effect in κ</w:t>
      </w:r>
      <w:r>
        <w:rPr>
          <w:vertAlign w:val="subscript"/>
        </w:rPr>
        <w:t>MT</w:t>
      </w:r>
      <w:r>
        <w:t xml:space="preserve"> (</w:t>
      </w:r>
      <w:r>
        <w:rPr>
          <w:i/>
          <w:iCs/>
        </w:rPr>
        <w:t>d</w:t>
      </w:r>
      <w:r>
        <w:t xml:space="preserve"> = −1.61), followed by </w:t>
      </w:r>
      <w:r>
        <w:rPr>
          <w:i/>
          <w:iCs/>
        </w:rPr>
        <w:t>t</w:t>
      </w:r>
      <w:r>
        <w:t>₀</w:t>
      </w:r>
      <w:r>
        <w:rPr>
          <w:vertAlign w:val="subscript"/>
        </w:rPr>
        <w:t>MT</w:t>
      </w:r>
      <w:r>
        <w:t xml:space="preserve"> (</w:t>
      </w:r>
      <w:r>
        <w:rPr>
          <w:i/>
          <w:iCs/>
        </w:rPr>
        <w:t>d</w:t>
      </w:r>
      <w:r>
        <w:t xml:space="preserve"> = 1.46) and λ</w:t>
      </w:r>
      <w:r>
        <w:rPr>
          <w:vertAlign w:val="subscript"/>
        </w:rPr>
        <w:t>MT</w:t>
      </w:r>
      <w:r>
        <w:t xml:space="preserve"> (</w:t>
      </w:r>
      <w:r>
        <w:rPr>
          <w:i/>
          <w:iCs/>
        </w:rPr>
        <w:t>d</w:t>
      </w:r>
      <w:r>
        <w:t xml:space="preserve"> </w:t>
      </w:r>
      <w:r>
        <w:t>= 1.16), indicating that children’s motor execution deficits were more evenly distributed across all three parameters, with particular impairment in movement consistency. Notably, the youngest children and older adults did not differ significantly from eac</w:t>
      </w:r>
      <w:r>
        <w:t xml:space="preserve">h other on </w:t>
      </w:r>
      <w:r>
        <w:rPr>
          <w:i/>
          <w:iCs/>
        </w:rPr>
        <w:t>t</w:t>
      </w:r>
      <w:r>
        <w:t>₀</w:t>
      </w:r>
      <w:r>
        <w:rPr>
          <w:vertAlign w:val="subscript"/>
        </w:rPr>
        <w:t>MT</w:t>
      </w:r>
      <w:r>
        <w:t xml:space="preserve"> (</w:t>
      </w:r>
      <w:r>
        <w:rPr>
          <w:i/>
          <w:iCs/>
        </w:rPr>
        <w:t>d</w:t>
      </w:r>
      <w:r>
        <w:t xml:space="preserve"> = −0.13, </w:t>
      </w:r>
      <w:r>
        <w:rPr>
          <w:i/>
          <w:iCs/>
        </w:rPr>
        <w:t>p</w:t>
      </w:r>
      <w:r>
        <w:t xml:space="preserve"> = 1.00) or λ</w:t>
      </w:r>
      <w:r>
        <w:rPr>
          <w:vertAlign w:val="subscript"/>
        </w:rPr>
        <w:t>MT</w:t>
      </w:r>
      <w:r>
        <w:t xml:space="preserve"> (</w:t>
      </w:r>
      <w:r>
        <w:rPr>
          <w:i/>
          <w:iCs/>
        </w:rPr>
        <w:t>d</w:t>
      </w:r>
      <w:r>
        <w:t xml:space="preserve"> = 0.40, </w:t>
      </w:r>
      <w:r>
        <w:rPr>
          <w:i/>
          <w:iCs/>
        </w:rPr>
        <w:t>p</w:t>
      </w:r>
      <w:r>
        <w:t xml:space="preserve"> = .079), but differed markedly on κ</w:t>
      </w:r>
      <w:r>
        <w:rPr>
          <w:vertAlign w:val="subscript"/>
        </w:rPr>
        <w:t>MT</w:t>
      </w:r>
      <w:r>
        <w:t xml:space="preserve"> (</w:t>
      </w:r>
      <w:r>
        <w:rPr>
          <w:i/>
          <w:iCs/>
        </w:rPr>
        <w:t>d</w:t>
      </w:r>
      <w:r>
        <w:t xml:space="preserve"> = −0.75, </w:t>
      </w:r>
      <w:r>
        <w:rPr>
          <w:i/>
          <w:iCs/>
        </w:rPr>
        <w:t>p</w:t>
      </w:r>
      <w:r>
        <w:t xml:space="preserve"> &lt; .001), with children showing more variable motor execution. The full post-hoc comparison matrix is presented in Figure 6.</w:t>
      </w:r>
    </w:p>
    <w:p w14:paraId="4C44CAD0" w14:textId="77777777" w:rsidR="0031634C" w:rsidRDefault="00BD6BAD">
      <w:pPr>
        <w:pStyle w:val="a0"/>
      </w:pPr>
      <w:r>
        <w:rPr>
          <w:b/>
          <w:bCs/>
        </w:rPr>
        <w:t>Table 3.</w:t>
      </w:r>
      <w:r>
        <w:t xml:space="preserve"> </w:t>
      </w:r>
      <w:r>
        <w:rPr>
          <w:i/>
          <w:iCs/>
        </w:rPr>
        <w:t>Welch’s ANOVA</w:t>
      </w:r>
      <w:r>
        <w:rPr>
          <w:i/>
          <w:iCs/>
        </w:rPr>
        <w:t xml:space="preserve"> and Descriptive Statistics for Weibull Parameters by Age Group</w:t>
      </w:r>
    </w:p>
    <w:tbl>
      <w:tblPr>
        <w:tblStyle w:val="Table"/>
        <w:tblW w:w="5000" w:type="pct"/>
        <w:tblLook w:val="0020" w:firstRow="1" w:lastRow="0" w:firstColumn="0" w:lastColumn="0" w:noHBand="0" w:noVBand="0"/>
      </w:tblPr>
      <w:tblGrid>
        <w:gridCol w:w="628"/>
        <w:gridCol w:w="1301"/>
        <w:gridCol w:w="1139"/>
        <w:gridCol w:w="1139"/>
        <w:gridCol w:w="1040"/>
        <w:gridCol w:w="1040"/>
        <w:gridCol w:w="1139"/>
        <w:gridCol w:w="1059"/>
        <w:gridCol w:w="1017"/>
        <w:gridCol w:w="850"/>
        <w:gridCol w:w="664"/>
      </w:tblGrid>
      <w:tr w:rsidR="0031634C" w14:paraId="2C3B9030"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0625709F" w14:textId="77777777" w:rsidR="0031634C" w:rsidRDefault="00BD6BAD">
            <w:pPr>
              <w:pStyle w:val="Compact"/>
            </w:pPr>
            <w:r>
              <w:t>DV</w:t>
            </w:r>
          </w:p>
        </w:tc>
        <w:tc>
          <w:tcPr>
            <w:tcW w:w="0" w:type="auto"/>
          </w:tcPr>
          <w:p w14:paraId="655E3C2E" w14:textId="77777777" w:rsidR="0031634C" w:rsidRDefault="00BD6BAD">
            <w:pPr>
              <w:pStyle w:val="Compact"/>
            </w:pPr>
            <w:r>
              <w:t>Parameter</w:t>
            </w:r>
          </w:p>
        </w:tc>
        <w:tc>
          <w:tcPr>
            <w:tcW w:w="0" w:type="auto"/>
          </w:tcPr>
          <w:p w14:paraId="6B37A84B" w14:textId="77777777" w:rsidR="0031634C" w:rsidRDefault="00BD6BAD">
            <w:pPr>
              <w:pStyle w:val="Compact"/>
            </w:pPr>
            <w:r>
              <w:t xml:space="preserve">&lt; 7 </w:t>
            </w:r>
            <w:r>
              <w:rPr>
                <w:i/>
                <w:iCs/>
              </w:rPr>
              <w:t>M</w:t>
            </w:r>
            <w:r>
              <w:t xml:space="preserve"> (</w:t>
            </w:r>
            <w:r>
              <w:rPr>
                <w:i/>
                <w:iCs/>
              </w:rPr>
              <w:t>SD</w:t>
            </w:r>
            <w:r>
              <w:t>)</w:t>
            </w:r>
          </w:p>
        </w:tc>
        <w:tc>
          <w:tcPr>
            <w:tcW w:w="0" w:type="auto"/>
          </w:tcPr>
          <w:p w14:paraId="5140418D" w14:textId="77777777" w:rsidR="0031634C" w:rsidRDefault="00BD6BAD">
            <w:pPr>
              <w:pStyle w:val="Compact"/>
            </w:pPr>
            <w:r>
              <w:t xml:space="preserve">7–12 </w:t>
            </w:r>
            <w:r>
              <w:rPr>
                <w:i/>
                <w:iCs/>
              </w:rPr>
              <w:t>M</w:t>
            </w:r>
            <w:r>
              <w:t xml:space="preserve"> (</w:t>
            </w:r>
            <w:r>
              <w:rPr>
                <w:i/>
                <w:iCs/>
              </w:rPr>
              <w:t>SD</w:t>
            </w:r>
            <w:r>
              <w:t>)</w:t>
            </w:r>
          </w:p>
        </w:tc>
        <w:tc>
          <w:tcPr>
            <w:tcW w:w="0" w:type="auto"/>
          </w:tcPr>
          <w:p w14:paraId="291FA540" w14:textId="77777777" w:rsidR="0031634C" w:rsidRDefault="00BD6BAD">
            <w:pPr>
              <w:pStyle w:val="Compact"/>
            </w:pPr>
            <w:r>
              <w:t xml:space="preserve">13–17 </w:t>
            </w:r>
            <w:r>
              <w:rPr>
                <w:i/>
                <w:iCs/>
              </w:rPr>
              <w:t>M</w:t>
            </w:r>
            <w:r>
              <w:t xml:space="preserve"> (</w:t>
            </w:r>
            <w:r>
              <w:rPr>
                <w:i/>
                <w:iCs/>
              </w:rPr>
              <w:t>SD</w:t>
            </w:r>
            <w:r>
              <w:t>)</w:t>
            </w:r>
          </w:p>
        </w:tc>
        <w:tc>
          <w:tcPr>
            <w:tcW w:w="0" w:type="auto"/>
          </w:tcPr>
          <w:p w14:paraId="3E1358B9" w14:textId="77777777" w:rsidR="0031634C" w:rsidRDefault="00BD6BAD">
            <w:pPr>
              <w:pStyle w:val="Compact"/>
            </w:pPr>
            <w:r>
              <w:t xml:space="preserve">18–30 </w:t>
            </w:r>
            <w:r>
              <w:rPr>
                <w:i/>
                <w:iCs/>
              </w:rPr>
              <w:t>M</w:t>
            </w:r>
            <w:r>
              <w:t xml:space="preserve"> (</w:t>
            </w:r>
            <w:r>
              <w:rPr>
                <w:i/>
                <w:iCs/>
              </w:rPr>
              <w:t>SD</w:t>
            </w:r>
            <w:r>
              <w:t>)</w:t>
            </w:r>
          </w:p>
        </w:tc>
        <w:tc>
          <w:tcPr>
            <w:tcW w:w="0" w:type="auto"/>
          </w:tcPr>
          <w:p w14:paraId="073F8E32" w14:textId="77777777" w:rsidR="0031634C" w:rsidRDefault="00BD6BAD">
            <w:pPr>
              <w:pStyle w:val="Compact"/>
            </w:pPr>
            <w:r>
              <w:t xml:space="preserve">65+ </w:t>
            </w:r>
            <w:r>
              <w:rPr>
                <w:i/>
                <w:iCs/>
              </w:rPr>
              <w:t>M</w:t>
            </w:r>
            <w:r>
              <w:t xml:space="preserve"> (</w:t>
            </w:r>
            <w:r>
              <w:rPr>
                <w:i/>
                <w:iCs/>
              </w:rPr>
              <w:t>SD</w:t>
            </w:r>
            <w:r>
              <w:t>)</w:t>
            </w:r>
          </w:p>
        </w:tc>
        <w:tc>
          <w:tcPr>
            <w:tcW w:w="0" w:type="auto"/>
          </w:tcPr>
          <w:p w14:paraId="2C3ED79A" w14:textId="77777777" w:rsidR="0031634C" w:rsidRDefault="00BD6BAD">
            <w:pPr>
              <w:pStyle w:val="Compact"/>
            </w:pPr>
            <w:r>
              <w:t xml:space="preserve">Welch’s </w:t>
            </w:r>
            <w:r>
              <w:rPr>
                <w:i/>
                <w:iCs/>
              </w:rPr>
              <w:t>F</w:t>
            </w:r>
          </w:p>
        </w:tc>
        <w:tc>
          <w:tcPr>
            <w:tcW w:w="0" w:type="auto"/>
          </w:tcPr>
          <w:p w14:paraId="01E1F4B5" w14:textId="77777777" w:rsidR="0031634C" w:rsidRDefault="00BD6BAD">
            <w:pPr>
              <w:pStyle w:val="Compact"/>
            </w:pPr>
            <w:r>
              <w:rPr>
                <w:i/>
                <w:iCs/>
              </w:rPr>
              <w:t>df</w:t>
            </w:r>
            <w:r>
              <w:rPr>
                <w:vertAlign w:val="subscript"/>
              </w:rPr>
              <w:t>num</w:t>
            </w:r>
            <w:r>
              <w:t xml:space="preserve">, </w:t>
            </w:r>
            <w:r>
              <w:rPr>
                <w:i/>
                <w:iCs/>
              </w:rPr>
              <w:t>df</w:t>
            </w:r>
            <w:r>
              <w:rPr>
                <w:vertAlign w:val="subscript"/>
              </w:rPr>
              <w:t>den</w:t>
            </w:r>
          </w:p>
        </w:tc>
        <w:tc>
          <w:tcPr>
            <w:tcW w:w="0" w:type="auto"/>
          </w:tcPr>
          <w:p w14:paraId="54757B5A" w14:textId="77777777" w:rsidR="0031634C" w:rsidRDefault="00BD6BAD">
            <w:pPr>
              <w:pStyle w:val="Compact"/>
            </w:pPr>
            <w:r>
              <w:rPr>
                <w:i/>
                <w:iCs/>
              </w:rPr>
              <w:t>p</w:t>
            </w:r>
          </w:p>
        </w:tc>
        <w:tc>
          <w:tcPr>
            <w:tcW w:w="0" w:type="auto"/>
          </w:tcPr>
          <w:p w14:paraId="3A09FCFF" w14:textId="77777777" w:rsidR="0031634C" w:rsidRDefault="00BD6BAD">
            <w:pPr>
              <w:pStyle w:val="Compact"/>
            </w:pPr>
            <w:r>
              <w:t>η²</w:t>
            </w:r>
          </w:p>
        </w:tc>
      </w:tr>
      <w:tr w:rsidR="0031634C" w14:paraId="4170282B" w14:textId="77777777">
        <w:tc>
          <w:tcPr>
            <w:tcW w:w="0" w:type="auto"/>
          </w:tcPr>
          <w:p w14:paraId="04175B35" w14:textId="77777777" w:rsidR="0031634C" w:rsidRDefault="00BD6BAD">
            <w:pPr>
              <w:pStyle w:val="Compact"/>
            </w:pPr>
            <w:r>
              <w:t>SRT</w:t>
            </w:r>
          </w:p>
        </w:tc>
        <w:tc>
          <w:tcPr>
            <w:tcW w:w="0" w:type="auto"/>
          </w:tcPr>
          <w:p w14:paraId="0F12A499" w14:textId="77777777" w:rsidR="0031634C" w:rsidRDefault="00BD6BAD">
            <w:pPr>
              <w:pStyle w:val="Compact"/>
            </w:pPr>
            <w:r>
              <w:rPr>
                <w:i/>
                <w:iCs/>
              </w:rPr>
              <w:t>t</w:t>
            </w:r>
            <w:r>
              <w:t>₀</w:t>
            </w:r>
          </w:p>
        </w:tc>
        <w:tc>
          <w:tcPr>
            <w:tcW w:w="0" w:type="auto"/>
          </w:tcPr>
          <w:p w14:paraId="594138BA" w14:textId="77777777" w:rsidR="0031634C" w:rsidRDefault="00BD6BAD">
            <w:pPr>
              <w:pStyle w:val="Compact"/>
            </w:pPr>
            <w:r>
              <w:t>396.3 (99.9)</w:t>
            </w:r>
          </w:p>
        </w:tc>
        <w:tc>
          <w:tcPr>
            <w:tcW w:w="0" w:type="auto"/>
          </w:tcPr>
          <w:p w14:paraId="362A2BC9" w14:textId="77777777" w:rsidR="0031634C" w:rsidRDefault="00BD6BAD">
            <w:pPr>
              <w:pStyle w:val="Compact"/>
            </w:pPr>
            <w:r>
              <w:t>329.6 (53.7)</w:t>
            </w:r>
          </w:p>
        </w:tc>
        <w:tc>
          <w:tcPr>
            <w:tcW w:w="0" w:type="auto"/>
          </w:tcPr>
          <w:p w14:paraId="0ADE8D4C" w14:textId="77777777" w:rsidR="0031634C" w:rsidRDefault="00BD6BAD">
            <w:pPr>
              <w:pStyle w:val="Compact"/>
            </w:pPr>
            <w:r>
              <w:t>306.8 (43.4)</w:t>
            </w:r>
          </w:p>
        </w:tc>
        <w:tc>
          <w:tcPr>
            <w:tcW w:w="0" w:type="auto"/>
          </w:tcPr>
          <w:p w14:paraId="16DF56D5" w14:textId="77777777" w:rsidR="0031634C" w:rsidRDefault="00BD6BAD">
            <w:pPr>
              <w:pStyle w:val="Compact"/>
            </w:pPr>
            <w:r>
              <w:t>267.7 (50.6)</w:t>
            </w:r>
          </w:p>
        </w:tc>
        <w:tc>
          <w:tcPr>
            <w:tcW w:w="0" w:type="auto"/>
          </w:tcPr>
          <w:p w14:paraId="1112E207" w14:textId="77777777" w:rsidR="0031634C" w:rsidRDefault="00BD6BAD">
            <w:pPr>
              <w:pStyle w:val="Compact"/>
            </w:pPr>
            <w:r>
              <w:t>400.4 (88.1)</w:t>
            </w:r>
          </w:p>
        </w:tc>
        <w:tc>
          <w:tcPr>
            <w:tcW w:w="0" w:type="auto"/>
          </w:tcPr>
          <w:p w14:paraId="1C75E64F" w14:textId="77777777" w:rsidR="0031634C" w:rsidRDefault="00BD6BAD">
            <w:pPr>
              <w:pStyle w:val="Compact"/>
            </w:pPr>
            <w:r>
              <w:t>118.61</w:t>
            </w:r>
          </w:p>
        </w:tc>
        <w:tc>
          <w:tcPr>
            <w:tcW w:w="0" w:type="auto"/>
          </w:tcPr>
          <w:p w14:paraId="72112E47" w14:textId="77777777" w:rsidR="0031634C" w:rsidRDefault="00BD6BAD">
            <w:pPr>
              <w:pStyle w:val="Compact"/>
            </w:pPr>
            <w:r>
              <w:t>4, 172.36</w:t>
            </w:r>
          </w:p>
        </w:tc>
        <w:tc>
          <w:tcPr>
            <w:tcW w:w="0" w:type="auto"/>
          </w:tcPr>
          <w:p w14:paraId="182941DF" w14:textId="77777777" w:rsidR="0031634C" w:rsidRDefault="00BD6BAD">
            <w:pPr>
              <w:pStyle w:val="Compact"/>
            </w:pPr>
            <w:r>
              <w:t>&lt; .001</w:t>
            </w:r>
          </w:p>
        </w:tc>
        <w:tc>
          <w:tcPr>
            <w:tcW w:w="0" w:type="auto"/>
          </w:tcPr>
          <w:p w14:paraId="01D0C708" w14:textId="77777777" w:rsidR="0031634C" w:rsidRDefault="00BD6BAD">
            <w:pPr>
              <w:pStyle w:val="Compact"/>
            </w:pPr>
            <w:r>
              <w:t>.354</w:t>
            </w:r>
          </w:p>
        </w:tc>
      </w:tr>
      <w:tr w:rsidR="0031634C" w14:paraId="23A77EED" w14:textId="77777777">
        <w:tc>
          <w:tcPr>
            <w:tcW w:w="0" w:type="auto"/>
          </w:tcPr>
          <w:p w14:paraId="06C1BE30" w14:textId="77777777" w:rsidR="0031634C" w:rsidRDefault="00BD6BAD">
            <w:pPr>
              <w:pStyle w:val="Compact"/>
            </w:pPr>
            <w:r>
              <w:t>SRT</w:t>
            </w:r>
          </w:p>
        </w:tc>
        <w:tc>
          <w:tcPr>
            <w:tcW w:w="0" w:type="auto"/>
          </w:tcPr>
          <w:p w14:paraId="51A9E345" w14:textId="77777777" w:rsidR="0031634C" w:rsidRDefault="00BD6BAD">
            <w:pPr>
              <w:pStyle w:val="Compact"/>
            </w:pPr>
            <w:r>
              <w:t>λ</w:t>
            </w:r>
          </w:p>
        </w:tc>
        <w:tc>
          <w:tcPr>
            <w:tcW w:w="0" w:type="auto"/>
          </w:tcPr>
          <w:p w14:paraId="7D80B1DE" w14:textId="77777777" w:rsidR="0031634C" w:rsidRDefault="00BD6BAD">
            <w:pPr>
              <w:pStyle w:val="Compact"/>
            </w:pPr>
            <w:r>
              <w:t>392.2 (236.8)</w:t>
            </w:r>
          </w:p>
        </w:tc>
        <w:tc>
          <w:tcPr>
            <w:tcW w:w="0" w:type="auto"/>
          </w:tcPr>
          <w:p w14:paraId="4D348FC1" w14:textId="77777777" w:rsidR="0031634C" w:rsidRDefault="00BD6BAD">
            <w:pPr>
              <w:pStyle w:val="Compact"/>
            </w:pPr>
            <w:r>
              <w:t>169.2 (53.4)</w:t>
            </w:r>
          </w:p>
        </w:tc>
        <w:tc>
          <w:tcPr>
            <w:tcW w:w="0" w:type="auto"/>
          </w:tcPr>
          <w:p w14:paraId="747BAD8F" w14:textId="77777777" w:rsidR="0031634C" w:rsidRDefault="00BD6BAD">
            <w:pPr>
              <w:pStyle w:val="Compact"/>
            </w:pPr>
            <w:r>
              <w:t>113.5 (22.7)</w:t>
            </w:r>
          </w:p>
        </w:tc>
        <w:tc>
          <w:tcPr>
            <w:tcW w:w="0" w:type="auto"/>
          </w:tcPr>
          <w:p w14:paraId="47BE4DF8" w14:textId="77777777" w:rsidR="0031634C" w:rsidRDefault="00BD6BAD">
            <w:pPr>
              <w:pStyle w:val="Compact"/>
            </w:pPr>
            <w:r>
              <w:t>126.1 (26.7)</w:t>
            </w:r>
          </w:p>
        </w:tc>
        <w:tc>
          <w:tcPr>
            <w:tcW w:w="0" w:type="auto"/>
          </w:tcPr>
          <w:p w14:paraId="6AC20938" w14:textId="77777777" w:rsidR="0031634C" w:rsidRDefault="00BD6BAD">
            <w:pPr>
              <w:pStyle w:val="Compact"/>
            </w:pPr>
            <w:r>
              <w:t>251.8 (183.8)</w:t>
            </w:r>
          </w:p>
        </w:tc>
        <w:tc>
          <w:tcPr>
            <w:tcW w:w="0" w:type="auto"/>
          </w:tcPr>
          <w:p w14:paraId="30E8994A" w14:textId="77777777" w:rsidR="0031634C" w:rsidRDefault="00BD6BAD">
            <w:pPr>
              <w:pStyle w:val="Compact"/>
            </w:pPr>
            <w:r>
              <w:t>65.61</w:t>
            </w:r>
          </w:p>
        </w:tc>
        <w:tc>
          <w:tcPr>
            <w:tcW w:w="0" w:type="auto"/>
          </w:tcPr>
          <w:p w14:paraId="664D6D98" w14:textId="77777777" w:rsidR="0031634C" w:rsidRDefault="00BD6BAD">
            <w:pPr>
              <w:pStyle w:val="Compact"/>
            </w:pPr>
            <w:r>
              <w:t>4, 167.67</w:t>
            </w:r>
          </w:p>
        </w:tc>
        <w:tc>
          <w:tcPr>
            <w:tcW w:w="0" w:type="auto"/>
          </w:tcPr>
          <w:p w14:paraId="43724586" w14:textId="77777777" w:rsidR="0031634C" w:rsidRDefault="00BD6BAD">
            <w:pPr>
              <w:pStyle w:val="Compact"/>
            </w:pPr>
            <w:r>
              <w:t>&lt; .001</w:t>
            </w:r>
          </w:p>
        </w:tc>
        <w:tc>
          <w:tcPr>
            <w:tcW w:w="0" w:type="auto"/>
          </w:tcPr>
          <w:p w14:paraId="11E1EF56" w14:textId="77777777" w:rsidR="0031634C" w:rsidRDefault="00BD6BAD">
            <w:pPr>
              <w:pStyle w:val="Compact"/>
            </w:pPr>
            <w:r>
              <w:t>.451</w:t>
            </w:r>
          </w:p>
        </w:tc>
      </w:tr>
      <w:tr w:rsidR="0031634C" w14:paraId="37CBD3B1" w14:textId="77777777">
        <w:tc>
          <w:tcPr>
            <w:tcW w:w="0" w:type="auto"/>
          </w:tcPr>
          <w:p w14:paraId="6BBD04EA" w14:textId="77777777" w:rsidR="0031634C" w:rsidRDefault="00BD6BAD">
            <w:pPr>
              <w:pStyle w:val="Compact"/>
            </w:pPr>
            <w:r>
              <w:lastRenderedPageBreak/>
              <w:t>SRT</w:t>
            </w:r>
          </w:p>
        </w:tc>
        <w:tc>
          <w:tcPr>
            <w:tcW w:w="0" w:type="auto"/>
          </w:tcPr>
          <w:p w14:paraId="4D727566" w14:textId="77777777" w:rsidR="0031634C" w:rsidRDefault="00BD6BAD">
            <w:pPr>
              <w:pStyle w:val="Compact"/>
            </w:pPr>
            <w:r>
              <w:t>κ</w:t>
            </w:r>
          </w:p>
        </w:tc>
        <w:tc>
          <w:tcPr>
            <w:tcW w:w="0" w:type="auto"/>
          </w:tcPr>
          <w:p w14:paraId="3B0EB594" w14:textId="77777777" w:rsidR="0031634C" w:rsidRDefault="00BD6BAD">
            <w:pPr>
              <w:pStyle w:val="Compact"/>
            </w:pPr>
            <w:r>
              <w:t>1.76 (0.93)</w:t>
            </w:r>
          </w:p>
        </w:tc>
        <w:tc>
          <w:tcPr>
            <w:tcW w:w="0" w:type="auto"/>
          </w:tcPr>
          <w:p w14:paraId="3E58BB58" w14:textId="77777777" w:rsidR="0031634C" w:rsidRDefault="00BD6BAD">
            <w:pPr>
              <w:pStyle w:val="Compact"/>
            </w:pPr>
            <w:r>
              <w:t>2.33 (1.16)</w:t>
            </w:r>
          </w:p>
        </w:tc>
        <w:tc>
          <w:tcPr>
            <w:tcW w:w="0" w:type="auto"/>
          </w:tcPr>
          <w:p w14:paraId="6D17EADE" w14:textId="77777777" w:rsidR="0031634C" w:rsidRDefault="00BD6BAD">
            <w:pPr>
              <w:pStyle w:val="Compact"/>
            </w:pPr>
            <w:r>
              <w:t>2.33 (0.90)</w:t>
            </w:r>
          </w:p>
        </w:tc>
        <w:tc>
          <w:tcPr>
            <w:tcW w:w="0" w:type="auto"/>
          </w:tcPr>
          <w:p w14:paraId="499A46ED" w14:textId="77777777" w:rsidR="0031634C" w:rsidRDefault="00BD6BAD">
            <w:pPr>
              <w:pStyle w:val="Compact"/>
            </w:pPr>
            <w:r>
              <w:t>2.86 (1.20)</w:t>
            </w:r>
          </w:p>
        </w:tc>
        <w:tc>
          <w:tcPr>
            <w:tcW w:w="0" w:type="auto"/>
          </w:tcPr>
          <w:p w14:paraId="3E9FCABD" w14:textId="77777777" w:rsidR="0031634C" w:rsidRDefault="00BD6BAD">
            <w:pPr>
              <w:pStyle w:val="Compact"/>
            </w:pPr>
            <w:r>
              <w:t>2.11 (0.95)</w:t>
            </w:r>
          </w:p>
        </w:tc>
        <w:tc>
          <w:tcPr>
            <w:tcW w:w="0" w:type="auto"/>
          </w:tcPr>
          <w:p w14:paraId="133189EE" w14:textId="77777777" w:rsidR="0031634C" w:rsidRDefault="00BD6BAD">
            <w:pPr>
              <w:pStyle w:val="Compact"/>
            </w:pPr>
            <w:r>
              <w:t>44.72</w:t>
            </w:r>
          </w:p>
        </w:tc>
        <w:tc>
          <w:tcPr>
            <w:tcW w:w="0" w:type="auto"/>
          </w:tcPr>
          <w:p w14:paraId="6E853E0F" w14:textId="77777777" w:rsidR="0031634C" w:rsidRDefault="00BD6BAD">
            <w:pPr>
              <w:pStyle w:val="Compact"/>
            </w:pPr>
            <w:r>
              <w:t>4, 183.70</w:t>
            </w:r>
          </w:p>
        </w:tc>
        <w:tc>
          <w:tcPr>
            <w:tcW w:w="0" w:type="auto"/>
          </w:tcPr>
          <w:p w14:paraId="08AAB40C" w14:textId="77777777" w:rsidR="0031634C" w:rsidRDefault="00BD6BAD">
            <w:pPr>
              <w:pStyle w:val="Compact"/>
            </w:pPr>
            <w:r>
              <w:t>&lt; .001</w:t>
            </w:r>
          </w:p>
        </w:tc>
        <w:tc>
          <w:tcPr>
            <w:tcW w:w="0" w:type="auto"/>
          </w:tcPr>
          <w:p w14:paraId="17C9E7BC" w14:textId="77777777" w:rsidR="0031634C" w:rsidRDefault="00BD6BAD">
            <w:pPr>
              <w:pStyle w:val="Compact"/>
            </w:pPr>
            <w:r>
              <w:t>.075</w:t>
            </w:r>
          </w:p>
        </w:tc>
      </w:tr>
      <w:tr w:rsidR="0031634C" w14:paraId="34FA9479" w14:textId="77777777">
        <w:tc>
          <w:tcPr>
            <w:tcW w:w="0" w:type="auto"/>
          </w:tcPr>
          <w:p w14:paraId="2184F037" w14:textId="77777777" w:rsidR="0031634C" w:rsidRDefault="00BD6BAD">
            <w:pPr>
              <w:pStyle w:val="Compact"/>
            </w:pPr>
            <w:r>
              <w:t>MT</w:t>
            </w:r>
          </w:p>
        </w:tc>
        <w:tc>
          <w:tcPr>
            <w:tcW w:w="0" w:type="auto"/>
          </w:tcPr>
          <w:p w14:paraId="04002954" w14:textId="77777777" w:rsidR="0031634C" w:rsidRDefault="00BD6BAD">
            <w:pPr>
              <w:pStyle w:val="Compact"/>
            </w:pPr>
            <w:r>
              <w:rPr>
                <w:i/>
                <w:iCs/>
              </w:rPr>
              <w:t>t</w:t>
            </w:r>
            <w:r>
              <w:t>₀</w:t>
            </w:r>
          </w:p>
        </w:tc>
        <w:tc>
          <w:tcPr>
            <w:tcW w:w="0" w:type="auto"/>
          </w:tcPr>
          <w:p w14:paraId="153E2999" w14:textId="77777777" w:rsidR="0031634C" w:rsidRDefault="00BD6BAD">
            <w:pPr>
              <w:pStyle w:val="Compact"/>
            </w:pPr>
            <w:r>
              <w:t>388.8 (219.5)</w:t>
            </w:r>
          </w:p>
        </w:tc>
        <w:tc>
          <w:tcPr>
            <w:tcW w:w="0" w:type="auto"/>
          </w:tcPr>
          <w:p w14:paraId="0CCEA143" w14:textId="77777777" w:rsidR="0031634C" w:rsidRDefault="00BD6BAD">
            <w:pPr>
              <w:pStyle w:val="Compact"/>
            </w:pPr>
            <w:r>
              <w:t>203.0 (64.3)</w:t>
            </w:r>
          </w:p>
        </w:tc>
        <w:tc>
          <w:tcPr>
            <w:tcW w:w="0" w:type="auto"/>
          </w:tcPr>
          <w:p w14:paraId="6E0D302C" w14:textId="77777777" w:rsidR="0031634C" w:rsidRDefault="00BD6BAD">
            <w:pPr>
              <w:pStyle w:val="Compact"/>
            </w:pPr>
            <w:r>
              <w:t>178.8 (46.4)</w:t>
            </w:r>
          </w:p>
        </w:tc>
        <w:tc>
          <w:tcPr>
            <w:tcW w:w="0" w:type="auto"/>
          </w:tcPr>
          <w:p w14:paraId="0AFE07F7" w14:textId="77777777" w:rsidR="0031634C" w:rsidRDefault="00BD6BAD">
            <w:pPr>
              <w:pStyle w:val="Compact"/>
            </w:pPr>
            <w:r>
              <w:t>156.1 (48.9)</w:t>
            </w:r>
          </w:p>
        </w:tc>
        <w:tc>
          <w:tcPr>
            <w:tcW w:w="0" w:type="auto"/>
          </w:tcPr>
          <w:p w14:paraId="4E844B7F" w14:textId="77777777" w:rsidR="0031634C" w:rsidRDefault="00BD6BAD">
            <w:pPr>
              <w:pStyle w:val="Compact"/>
            </w:pPr>
            <w:r>
              <w:t>417.0 (212.1)</w:t>
            </w:r>
          </w:p>
        </w:tc>
        <w:tc>
          <w:tcPr>
            <w:tcW w:w="0" w:type="auto"/>
          </w:tcPr>
          <w:p w14:paraId="44512CE4" w14:textId="77777777" w:rsidR="0031634C" w:rsidRDefault="00BD6BAD">
            <w:pPr>
              <w:pStyle w:val="Compact"/>
            </w:pPr>
            <w:r>
              <w:t>72.75</w:t>
            </w:r>
          </w:p>
        </w:tc>
        <w:tc>
          <w:tcPr>
            <w:tcW w:w="0" w:type="auto"/>
          </w:tcPr>
          <w:p w14:paraId="7933F3ED" w14:textId="77777777" w:rsidR="0031634C" w:rsidRDefault="00BD6BAD">
            <w:pPr>
              <w:pStyle w:val="Compact"/>
            </w:pPr>
            <w:r>
              <w:t>4, 168.11</w:t>
            </w:r>
          </w:p>
        </w:tc>
        <w:tc>
          <w:tcPr>
            <w:tcW w:w="0" w:type="auto"/>
          </w:tcPr>
          <w:p w14:paraId="5921C7C7" w14:textId="77777777" w:rsidR="0031634C" w:rsidRDefault="00BD6BAD">
            <w:pPr>
              <w:pStyle w:val="Compact"/>
            </w:pPr>
            <w:r>
              <w:t>&lt; .001</w:t>
            </w:r>
          </w:p>
        </w:tc>
        <w:tc>
          <w:tcPr>
            <w:tcW w:w="0" w:type="auto"/>
          </w:tcPr>
          <w:p w14:paraId="7FFA00B8" w14:textId="77777777" w:rsidR="0031634C" w:rsidRDefault="00BD6BAD">
            <w:pPr>
              <w:pStyle w:val="Compact"/>
            </w:pPr>
            <w:r>
              <w:t>.440</w:t>
            </w:r>
          </w:p>
        </w:tc>
      </w:tr>
      <w:tr w:rsidR="0031634C" w14:paraId="319B6818" w14:textId="77777777">
        <w:tc>
          <w:tcPr>
            <w:tcW w:w="0" w:type="auto"/>
          </w:tcPr>
          <w:p w14:paraId="0C1EA2BA" w14:textId="77777777" w:rsidR="0031634C" w:rsidRDefault="00BD6BAD">
            <w:pPr>
              <w:pStyle w:val="Compact"/>
            </w:pPr>
            <w:r>
              <w:t>MT</w:t>
            </w:r>
          </w:p>
        </w:tc>
        <w:tc>
          <w:tcPr>
            <w:tcW w:w="0" w:type="auto"/>
          </w:tcPr>
          <w:p w14:paraId="0E5578F7" w14:textId="77777777" w:rsidR="0031634C" w:rsidRDefault="00BD6BAD">
            <w:pPr>
              <w:pStyle w:val="Compact"/>
            </w:pPr>
            <w:r>
              <w:t>λ</w:t>
            </w:r>
          </w:p>
        </w:tc>
        <w:tc>
          <w:tcPr>
            <w:tcW w:w="0" w:type="auto"/>
          </w:tcPr>
          <w:p w14:paraId="000E4279" w14:textId="77777777" w:rsidR="0031634C" w:rsidRDefault="00BD6BAD">
            <w:pPr>
              <w:pStyle w:val="Compact"/>
            </w:pPr>
            <w:r>
              <w:t>666.6 (631.5)</w:t>
            </w:r>
          </w:p>
        </w:tc>
        <w:tc>
          <w:tcPr>
            <w:tcW w:w="0" w:type="auto"/>
          </w:tcPr>
          <w:p w14:paraId="3E18CBE9" w14:textId="77777777" w:rsidR="0031634C" w:rsidRDefault="00BD6BAD">
            <w:pPr>
              <w:pStyle w:val="Compact"/>
            </w:pPr>
            <w:r>
              <w:t>216.3 (116.6)</w:t>
            </w:r>
          </w:p>
        </w:tc>
        <w:tc>
          <w:tcPr>
            <w:tcW w:w="0" w:type="auto"/>
          </w:tcPr>
          <w:p w14:paraId="58538D13" w14:textId="77777777" w:rsidR="0031634C" w:rsidRDefault="00BD6BAD">
            <w:pPr>
              <w:pStyle w:val="Compact"/>
            </w:pPr>
            <w:r>
              <w:t>133.4 (31.5)</w:t>
            </w:r>
          </w:p>
        </w:tc>
        <w:tc>
          <w:tcPr>
            <w:tcW w:w="0" w:type="auto"/>
          </w:tcPr>
          <w:p w14:paraId="1857FACE" w14:textId="77777777" w:rsidR="0031634C" w:rsidRDefault="00BD6BAD">
            <w:pPr>
              <w:pStyle w:val="Compact"/>
            </w:pPr>
            <w:r>
              <w:t>149.4 (41.3)</w:t>
            </w:r>
          </w:p>
        </w:tc>
        <w:tc>
          <w:tcPr>
            <w:tcW w:w="0" w:type="auto"/>
          </w:tcPr>
          <w:p w14:paraId="023D6FB4" w14:textId="77777777" w:rsidR="0031634C" w:rsidRDefault="00BD6BAD">
            <w:pPr>
              <w:pStyle w:val="Compact"/>
            </w:pPr>
            <w:r>
              <w:t>443.9 (482.5)</w:t>
            </w:r>
          </w:p>
        </w:tc>
        <w:tc>
          <w:tcPr>
            <w:tcW w:w="0" w:type="auto"/>
          </w:tcPr>
          <w:p w14:paraId="09F30F15" w14:textId="77777777" w:rsidR="0031634C" w:rsidRDefault="00BD6BAD">
            <w:pPr>
              <w:pStyle w:val="Compact"/>
            </w:pPr>
            <w:r>
              <w:t>37.92</w:t>
            </w:r>
          </w:p>
        </w:tc>
        <w:tc>
          <w:tcPr>
            <w:tcW w:w="0" w:type="auto"/>
          </w:tcPr>
          <w:p w14:paraId="4C963F12" w14:textId="77777777" w:rsidR="0031634C" w:rsidRDefault="00BD6BAD">
            <w:pPr>
              <w:pStyle w:val="Compact"/>
            </w:pPr>
            <w:r>
              <w:t>4, 168.53</w:t>
            </w:r>
          </w:p>
        </w:tc>
        <w:tc>
          <w:tcPr>
            <w:tcW w:w="0" w:type="auto"/>
          </w:tcPr>
          <w:p w14:paraId="3AFE66FA" w14:textId="77777777" w:rsidR="0031634C" w:rsidRDefault="00BD6BAD">
            <w:pPr>
              <w:pStyle w:val="Compact"/>
            </w:pPr>
            <w:r>
              <w:t>&lt; .001</w:t>
            </w:r>
          </w:p>
        </w:tc>
        <w:tc>
          <w:tcPr>
            <w:tcW w:w="0" w:type="auto"/>
          </w:tcPr>
          <w:p w14:paraId="4CC16062" w14:textId="77777777" w:rsidR="0031634C" w:rsidRDefault="00BD6BAD">
            <w:pPr>
              <w:pStyle w:val="Compact"/>
            </w:pPr>
            <w:r>
              <w:t>.333</w:t>
            </w:r>
          </w:p>
        </w:tc>
      </w:tr>
      <w:tr w:rsidR="0031634C" w14:paraId="3FD68056" w14:textId="77777777">
        <w:tc>
          <w:tcPr>
            <w:tcW w:w="0" w:type="auto"/>
          </w:tcPr>
          <w:p w14:paraId="31F5280D" w14:textId="77777777" w:rsidR="0031634C" w:rsidRDefault="00BD6BAD">
            <w:pPr>
              <w:pStyle w:val="Compact"/>
            </w:pPr>
            <w:r>
              <w:t>MT</w:t>
            </w:r>
          </w:p>
        </w:tc>
        <w:tc>
          <w:tcPr>
            <w:tcW w:w="0" w:type="auto"/>
          </w:tcPr>
          <w:p w14:paraId="250E5191" w14:textId="77777777" w:rsidR="0031634C" w:rsidRDefault="00BD6BAD">
            <w:pPr>
              <w:pStyle w:val="Compact"/>
            </w:pPr>
            <w:r>
              <w:t>κ</w:t>
            </w:r>
          </w:p>
        </w:tc>
        <w:tc>
          <w:tcPr>
            <w:tcW w:w="0" w:type="auto"/>
          </w:tcPr>
          <w:p w14:paraId="315BEF29" w14:textId="77777777" w:rsidR="0031634C" w:rsidRDefault="00BD6BAD">
            <w:pPr>
              <w:pStyle w:val="Compact"/>
            </w:pPr>
            <w:r>
              <w:t>1.84 (1.07)</w:t>
            </w:r>
          </w:p>
        </w:tc>
        <w:tc>
          <w:tcPr>
            <w:tcW w:w="0" w:type="auto"/>
          </w:tcPr>
          <w:p w14:paraId="2EF2B650" w14:textId="77777777" w:rsidR="0031634C" w:rsidRDefault="00BD6BAD">
            <w:pPr>
              <w:pStyle w:val="Compact"/>
            </w:pPr>
            <w:r>
              <w:t>2.06 (1.31)</w:t>
            </w:r>
          </w:p>
        </w:tc>
        <w:tc>
          <w:tcPr>
            <w:tcW w:w="0" w:type="auto"/>
          </w:tcPr>
          <w:p w14:paraId="3048DA4E" w14:textId="77777777" w:rsidR="0031634C" w:rsidRDefault="00BD6BAD">
            <w:pPr>
              <w:pStyle w:val="Compact"/>
            </w:pPr>
            <w:r>
              <w:t>2.31 (0.98)</w:t>
            </w:r>
          </w:p>
        </w:tc>
        <w:tc>
          <w:tcPr>
            <w:tcW w:w="0" w:type="auto"/>
          </w:tcPr>
          <w:p w14:paraId="75EBA17F" w14:textId="77777777" w:rsidR="0031634C" w:rsidRDefault="00BD6BAD">
            <w:pPr>
              <w:pStyle w:val="Compact"/>
            </w:pPr>
            <w:r>
              <w:t>3.99 (1.56)</w:t>
            </w:r>
          </w:p>
        </w:tc>
        <w:tc>
          <w:tcPr>
            <w:tcW w:w="0" w:type="auto"/>
          </w:tcPr>
          <w:p w14:paraId="6B9F8A0F" w14:textId="77777777" w:rsidR="0031634C" w:rsidRDefault="00BD6BAD">
            <w:pPr>
              <w:pStyle w:val="Compact"/>
            </w:pPr>
            <w:r>
              <w:t>2.70 (1.23)</w:t>
            </w:r>
          </w:p>
        </w:tc>
        <w:tc>
          <w:tcPr>
            <w:tcW w:w="0" w:type="auto"/>
          </w:tcPr>
          <w:p w14:paraId="62804447" w14:textId="77777777" w:rsidR="0031634C" w:rsidRDefault="00BD6BAD">
            <w:pPr>
              <w:pStyle w:val="Compact"/>
            </w:pPr>
            <w:r>
              <w:t>157.65</w:t>
            </w:r>
          </w:p>
        </w:tc>
        <w:tc>
          <w:tcPr>
            <w:tcW w:w="0" w:type="auto"/>
          </w:tcPr>
          <w:p w14:paraId="6DC8481C" w14:textId="77777777" w:rsidR="0031634C" w:rsidRDefault="00BD6BAD">
            <w:pPr>
              <w:pStyle w:val="Compact"/>
            </w:pPr>
            <w:r>
              <w:t>4, 188.29</w:t>
            </w:r>
          </w:p>
        </w:tc>
        <w:tc>
          <w:tcPr>
            <w:tcW w:w="0" w:type="auto"/>
          </w:tcPr>
          <w:p w14:paraId="37833EBA" w14:textId="77777777" w:rsidR="0031634C" w:rsidRDefault="00BD6BAD">
            <w:pPr>
              <w:pStyle w:val="Compact"/>
            </w:pPr>
            <w:r>
              <w:t>&lt; .001</w:t>
            </w:r>
          </w:p>
        </w:tc>
        <w:tc>
          <w:tcPr>
            <w:tcW w:w="0" w:type="auto"/>
          </w:tcPr>
          <w:p w14:paraId="410A366B" w14:textId="77777777" w:rsidR="0031634C" w:rsidRDefault="00BD6BAD">
            <w:pPr>
              <w:pStyle w:val="Compact"/>
            </w:pPr>
            <w:r>
              <w:t>.210</w:t>
            </w:r>
          </w:p>
        </w:tc>
      </w:tr>
    </w:tbl>
    <w:p w14:paraId="23063870" w14:textId="77777777" w:rsidR="0031634C" w:rsidRDefault="00BD6BAD">
      <w:pPr>
        <w:pStyle w:val="a0"/>
      </w:pPr>
      <w:r>
        <w:rPr>
          <w:i/>
          <w:iCs/>
        </w:rPr>
        <w:t>Note.</w:t>
      </w:r>
      <w:r>
        <w:t xml:space="preserve"> All Kruskal–Wallis nonparametric tests confirmed the omnibus effects (</w:t>
      </w:r>
      <w:r>
        <w:rPr>
          <w:i/>
          <w:iCs/>
        </w:rPr>
        <w:t>p</w:t>
      </w:r>
      <w:r>
        <w:t>s &lt; .001). Group 1 = &lt; 7 years (</w:t>
      </w:r>
      <w:r>
        <w:rPr>
          <w:i/>
          <w:iCs/>
        </w:rPr>
        <w:t>n</w:t>
      </w:r>
      <w:r>
        <w:t xml:space="preserve"> = 108–110); Group 2 = 7–12 years (</w:t>
      </w:r>
      <w:r>
        <w:rPr>
          <w:i/>
          <w:iCs/>
        </w:rPr>
        <w:t>n</w:t>
      </w:r>
      <w:r>
        <w:t xml:space="preserve"> = 117); Group 3 = 13–17 years (</w:t>
      </w:r>
      <w:r>
        <w:rPr>
          <w:i/>
          <w:iCs/>
        </w:rPr>
        <w:t>n</w:t>
      </w:r>
      <w:r>
        <w:t xml:space="preserve"> = 56); Group 4 = 18–30 years (</w:t>
      </w:r>
      <w:r>
        <w:rPr>
          <w:i/>
          <w:iCs/>
        </w:rPr>
        <w:t>n</w:t>
      </w:r>
      <w:r>
        <w:t xml:space="preserve"> = </w:t>
      </w:r>
      <w:r>
        <w:t>1,297–1,299); Group 5 = 65+ years (</w:t>
      </w:r>
      <w:r>
        <w:rPr>
          <w:i/>
          <w:iCs/>
        </w:rPr>
        <w:t>n</w:t>
      </w:r>
      <w:r>
        <w:t xml:space="preserve"> = 72). η² = eta-squared.</w:t>
      </w:r>
    </w:p>
    <w:tbl>
      <w:tblPr>
        <w:tblStyle w:val="Table"/>
        <w:tblW w:w="4865" w:type="pct"/>
        <w:tblLook w:val="0020" w:firstRow="1" w:lastRow="0" w:firstColumn="0" w:lastColumn="0" w:noHBand="0" w:noVBand="0"/>
      </w:tblPr>
      <w:tblGrid>
        <w:gridCol w:w="10719"/>
      </w:tblGrid>
      <w:tr w:rsidR="0031634C" w14:paraId="37705E24"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40AFE852" w14:textId="77777777" w:rsidR="0031634C" w:rsidRDefault="0031634C">
            <w:pPr>
              <w:pStyle w:val="Compact"/>
            </w:pPr>
          </w:p>
        </w:tc>
      </w:tr>
      <w:tr w:rsidR="0031634C" w14:paraId="452B76F7" w14:textId="77777777">
        <w:tc>
          <w:tcPr>
            <w:tcW w:w="0" w:type="auto"/>
          </w:tcPr>
          <w:p w14:paraId="6CD86870" w14:textId="77777777" w:rsidR="0031634C" w:rsidRDefault="00BD6BAD">
            <w:pPr>
              <w:pStyle w:val="Compact"/>
            </w:pPr>
            <w:r>
              <w:rPr>
                <w:b/>
                <w:bCs/>
              </w:rPr>
              <w:t>Figure 3. Individual parameter estimates by age group.</w:t>
            </w:r>
            <w:r>
              <w:t xml:space="preserve"> Weibull </w:t>
            </w:r>
            <w:r>
              <w:t xml:space="preserve">distribution parameters estimated from HBM across five age groups (&lt; 7y: </w:t>
            </w:r>
            <w:r>
              <w:rPr>
                <w:i/>
                <w:iCs/>
              </w:rPr>
              <w:t>n</w:t>
            </w:r>
            <w:r>
              <w:t xml:space="preserve"> = 108; 7–12y: </w:t>
            </w:r>
            <w:r>
              <w:rPr>
                <w:i/>
                <w:iCs/>
              </w:rPr>
              <w:t>n</w:t>
            </w:r>
            <w:r>
              <w:t xml:space="preserve"> = 117; 13–17y: </w:t>
            </w:r>
            <w:r>
              <w:rPr>
                <w:i/>
                <w:iCs/>
              </w:rPr>
              <w:t>n</w:t>
            </w:r>
            <w:r>
              <w:t xml:space="preserve"> = 56; 18–30y: </w:t>
            </w:r>
            <w:r>
              <w:rPr>
                <w:i/>
                <w:iCs/>
              </w:rPr>
              <w:t>n</w:t>
            </w:r>
            <w:r>
              <w:t xml:space="preserve"> = 1,299; 65+y: </w:t>
            </w:r>
            <w:r>
              <w:rPr>
                <w:i/>
                <w:iCs/>
              </w:rPr>
              <w:t>n</w:t>
            </w:r>
            <w:r>
              <w:t xml:space="preserve"> = 72). Top panels: Violin plots showing the distribution of (A) shift parameter </w:t>
            </w:r>
            <w:r>
              <w:rPr>
                <w:i/>
                <w:iCs/>
              </w:rPr>
              <w:t>t</w:t>
            </w:r>
            <w:r>
              <w:t>₀</w:t>
            </w:r>
            <w:r>
              <w:t xml:space="preserve">, (B) scale parameter λ, and (C) </w:t>
            </w:r>
            <w:r>
              <w:t>shape parameter κ. Black horizontal lines indicate median values. Bottom panels: Scatter plots showing parameter values as a function of continuous age (years), with color-coded age groups. Dashed black lines represent linear regression fits. All parameter</w:t>
            </w:r>
            <w:r>
              <w:t>s show significant developmental changes across the age range examined.</w:t>
            </w:r>
          </w:p>
        </w:tc>
      </w:tr>
    </w:tbl>
    <w:p w14:paraId="2F7FB953" w14:textId="77777777" w:rsidR="0031634C" w:rsidRDefault="0031634C"/>
    <w:tbl>
      <w:tblPr>
        <w:tblStyle w:val="Table"/>
        <w:tblW w:w="4865" w:type="pct"/>
        <w:tblLook w:val="0020" w:firstRow="1" w:lastRow="0" w:firstColumn="0" w:lastColumn="0" w:noHBand="0" w:noVBand="0"/>
      </w:tblPr>
      <w:tblGrid>
        <w:gridCol w:w="10719"/>
      </w:tblGrid>
      <w:tr w:rsidR="0031634C" w14:paraId="4E4733C9" w14:textId="77777777" w:rsidTr="0031634C">
        <w:trPr>
          <w:cnfStyle w:val="100000000000" w:firstRow="1" w:lastRow="0" w:firstColumn="0" w:lastColumn="0" w:oddVBand="0" w:evenVBand="0" w:oddHBand="0" w:evenHBand="0" w:firstRowFirstColumn="0" w:firstRowLastColumn="0" w:lastRowFirstColumn="0" w:lastRowLastColumn="0"/>
          <w:tblHeader/>
        </w:trPr>
        <w:tc>
          <w:tcPr>
            <w:tcW w:w="0" w:type="auto"/>
          </w:tcPr>
          <w:p w14:paraId="51F56597" w14:textId="77777777" w:rsidR="0031634C" w:rsidRDefault="0031634C">
            <w:pPr>
              <w:pStyle w:val="Compact"/>
            </w:pPr>
          </w:p>
        </w:tc>
      </w:tr>
      <w:tr w:rsidR="0031634C" w14:paraId="707AF1D2" w14:textId="77777777">
        <w:tc>
          <w:tcPr>
            <w:tcW w:w="0" w:type="auto"/>
          </w:tcPr>
          <w:p w14:paraId="1C9A8F5F" w14:textId="77777777" w:rsidR="0031634C" w:rsidRDefault="00BD6BAD">
            <w:pPr>
              <w:pStyle w:val="Compact"/>
            </w:pPr>
            <w:r>
              <w:rPr>
                <w:b/>
                <w:bCs/>
              </w:rPr>
              <w:t>Figure 4. Goodness-of-fit assessment of individual-level Weibull models.</w:t>
            </w:r>
            <w:r>
              <w:t xml:space="preserve"> Top row: (A) Distribution of Kolmogorov–Smirnov statistics by age group, shown as violin plots with median </w:t>
            </w:r>
            <w:r>
              <w:t xml:space="preserve">lines. (B) Distribution of KS test </w:t>
            </w:r>
            <w:r>
              <w:rPr>
                <w:i/>
                <w:iCs/>
              </w:rPr>
              <w:t>p</w:t>
            </w:r>
            <w:r>
              <w:t xml:space="preserve">-values by age group; red dashed line indicates α = .05. (C) Distribution of KS statistics across all subjects. (D) Proportion of subjects with </w:t>
            </w:r>
            <w:r>
              <w:rPr>
                <w:i/>
                <w:iCs/>
              </w:rPr>
              <w:t>p</w:t>
            </w:r>
            <w:r>
              <w:t xml:space="preserve"> &gt; .05 in each age group. Bottom row: QQ plots comparing theoretical quanti</w:t>
            </w:r>
            <w:r>
              <w:t>les from the fitted Weibull distribution to empirical quantiles for each age group. Points along the diagonal indicate good model–data agreement.</w:t>
            </w:r>
          </w:p>
        </w:tc>
      </w:tr>
    </w:tbl>
    <w:p w14:paraId="379BFBFA" w14:textId="77777777" w:rsidR="0031634C" w:rsidRDefault="00BD6BAD">
      <w:pPr>
        <w:pStyle w:val="2"/>
      </w:pPr>
      <w:bookmarkStart w:id="20" w:name="discussion"/>
      <w:bookmarkEnd w:id="15"/>
      <w:bookmarkEnd w:id="19"/>
      <w:r>
        <w:t>Discussion</w:t>
      </w:r>
    </w:p>
    <w:p w14:paraId="761E74DE" w14:textId="77777777" w:rsidR="0031634C" w:rsidRDefault="00BD6BAD">
      <w:pPr>
        <w:pStyle w:val="3"/>
      </w:pPr>
      <w:bookmarkStart w:id="21" w:name="summary-of-main-findings"/>
      <w:r>
        <w:t>Summary of Main Findings</w:t>
      </w:r>
    </w:p>
    <w:p w14:paraId="09765AB1" w14:textId="77777777" w:rsidR="0031634C" w:rsidRDefault="00BD6BAD">
      <w:pPr>
        <w:pStyle w:val="FirstParagraph"/>
      </w:pPr>
      <w:r>
        <w:t>Hierarchical Bayesian estimation of shifted Weibull distributions decompo</w:t>
      </w:r>
      <w:r>
        <w:t>sed simple reaction time (SRT) and movement time (MT) into three distributional parameters—shift (</w:t>
      </w:r>
      <w:r>
        <w:rPr>
          <w:i/>
          <w:iCs/>
        </w:rPr>
        <w:t>t</w:t>
      </w:r>
      <w:r>
        <w:t>₀</w:t>
      </w:r>
      <w:r>
        <w:t>), scale (λ), and shape (κ)—across five age groups spanning childhood through older adulthood. The Weibull parameters did not behave as a unitary processing</w:t>
      </w:r>
      <w:r>
        <w:t xml:space="preserve"> speed factor: children and older adults deviated from young adults through qualitatively different parametric profiles. For SRT, the scale parameter (λ) carried the most age-related variance (η² = .451), consistent with the interpretation that development</w:t>
      </w:r>
      <w:r>
        <w:t>al and aging differences in SRT are driven primarily by central processing efficiency rather than by the sensorimotor floor, while the shift parameter (</w:t>
      </w:r>
      <w:r>
        <w:rPr>
          <w:i/>
          <w:iCs/>
        </w:rPr>
        <w:t>t</w:t>
      </w:r>
      <w:r>
        <w:t>₀</w:t>
      </w:r>
      <w:r>
        <w:t xml:space="preserve">) also contributed substantially (η² = .354). For MT, the pattern reversed: </w:t>
      </w:r>
      <w:r>
        <w:rPr>
          <w:i/>
          <w:iCs/>
        </w:rPr>
        <w:t>t</w:t>
      </w:r>
      <w:r>
        <w:t>₀</w:t>
      </w:r>
      <w:r>
        <w:t xml:space="preserve"> dominated (η² = .440), </w:t>
      </w:r>
      <w:r>
        <w:t xml:space="preserve">consistent with peripheral motor constraints. Critically, the youngest children (&lt; 7 years) and older adults (65+) showed comparable </w:t>
      </w:r>
      <w:r>
        <w:rPr>
          <w:i/>
          <w:iCs/>
        </w:rPr>
        <w:t>t</w:t>
      </w:r>
      <w:r>
        <w:t>₀</w:t>
      </w:r>
      <w:r>
        <w:t xml:space="preserve"> elevations relative to young adults (</w:t>
      </w:r>
      <w:r>
        <w:rPr>
          <w:i/>
          <w:iCs/>
        </w:rPr>
        <w:t>d</w:t>
      </w:r>
      <w:r>
        <w:t xml:space="preserve"> = 1.62 and −1.85, respectively) but diverged sharply in how the other parameters </w:t>
      </w:r>
      <w:r>
        <w:t>contributed. This dissociation indicates that the U-shaped mean RT trajectory is a composite of distinct processing changes at the developmental and aging limbs, rather than the product of a single slowing factor that rises and falls.</w:t>
      </w:r>
    </w:p>
    <w:p w14:paraId="1C81FD76" w14:textId="77777777" w:rsidR="0031634C" w:rsidRDefault="00BD6BAD">
      <w:pPr>
        <w:pStyle w:val="3"/>
      </w:pPr>
      <w:bookmarkStart w:id="22" w:name="X5c6f169723ea16df7d94e5179e3f24a44dd5d2b"/>
      <w:bookmarkEnd w:id="21"/>
      <w:r>
        <w:lastRenderedPageBreak/>
        <w:t>Dissociable Routes of</w:t>
      </w:r>
      <w:r>
        <w:t xml:space="preserve"> Slowing: Children Are Not Small Elderly</w:t>
      </w:r>
    </w:p>
    <w:p w14:paraId="41E56472" w14:textId="77777777" w:rsidR="0031634C" w:rsidRDefault="00BD6BAD">
      <w:pPr>
        <w:pStyle w:val="FirstParagraph"/>
      </w:pPr>
      <w:r>
        <w:t>The most consequential finding is that children and older adults arrive at similarly slow SRT means via distinguishable distributional mechanisms. For SRT, the youngest children showed large deviations from young ad</w:t>
      </w:r>
      <w:r>
        <w:t>ults across all three parameters: elevated λ (</w:t>
      </w:r>
      <w:r>
        <w:rPr>
          <w:i/>
          <w:iCs/>
        </w:rPr>
        <w:t>d</w:t>
      </w:r>
      <w:r>
        <w:t xml:space="preserve"> = 1.58), elevated </w:t>
      </w:r>
      <w:r>
        <w:rPr>
          <w:i/>
          <w:iCs/>
        </w:rPr>
        <w:t>t</w:t>
      </w:r>
      <w:r>
        <w:t>₀</w:t>
      </w:r>
      <w:r>
        <w:t xml:space="preserve"> (</w:t>
      </w:r>
      <w:r>
        <w:rPr>
          <w:i/>
          <w:iCs/>
        </w:rPr>
        <w:t>d</w:t>
      </w:r>
      <w:r>
        <w:t xml:space="preserve"> = 1.62), and reduced κ (</w:t>
      </w:r>
      <w:r>
        <w:rPr>
          <w:i/>
          <w:iCs/>
        </w:rPr>
        <w:t>d</w:t>
      </w:r>
      <w:r>
        <w:t xml:space="preserve"> = −1.03). The λ and κ effects implicate central processing: children were both slower in their typical processing speed and more inconsistent from trial to tr</w:t>
      </w:r>
      <w:r>
        <w:t xml:space="preserve">ial, producing heavily right-skewed distributions with a long tail of slow responses. This profile is consistent with the temporal preparation and sustained attention literatures, which show that young children have difficulty maintaining an optimal level </w:t>
      </w:r>
      <w:r>
        <w:t>of readiness over variable foreperiods (Vallesi &amp; Shallice, 2007) and exhibit greater attentional fluctuation during repetitive tasks (Hultsch et al., 2002). The reduced κ, in particular, suggests that children’s slowing is not merely a matter of slower pr</w:t>
      </w:r>
      <w:r>
        <w:t>ocessing on every trial but reflects an increased proportion of trials on which processing is substantially delayed—a pattern compatible with intermittent lapses in attentional engagement rather than a stable deficit in processing speed.</w:t>
      </w:r>
    </w:p>
    <w:p w14:paraId="184B3552" w14:textId="77777777" w:rsidR="0031634C" w:rsidRDefault="00BD6BAD">
      <w:pPr>
        <w:pStyle w:val="a0"/>
      </w:pPr>
      <w:r>
        <w:t>Older adults (65+)</w:t>
      </w:r>
      <w:r>
        <w:t xml:space="preserve"> showed a partially overlapping but distinguishable parametric profile. Their largest SRT effect was in </w:t>
      </w:r>
      <w:r>
        <w:rPr>
          <w:i/>
          <w:iCs/>
        </w:rPr>
        <w:t>t</w:t>
      </w:r>
      <w:r>
        <w:t>₀</w:t>
      </w:r>
      <w:r>
        <w:t xml:space="preserve"> (</w:t>
      </w:r>
      <w:r>
        <w:rPr>
          <w:i/>
          <w:iCs/>
        </w:rPr>
        <w:t>d</w:t>
      </w:r>
      <w:r>
        <w:t xml:space="preserve"> </w:t>
      </w:r>
      <w:r>
        <w:t>= −1.85), consistent with a substantial elevation of the irreducible sensorimotor floor under the stage-based interpretation (Rouder et al., 2005). This is consistent with Forrence et al. (2023), who demonstrated that age-related SRT slowing in adults refl</w:t>
      </w:r>
      <w:r>
        <w:t>ects delayed response preparation rather than delayed initiation, and with the neurobiological evidence that white matter degradation in older adulthood increases peripheral conduction times (Bartzokis et al., 2010; Salthouse, 1996). A potential confound i</w:t>
      </w:r>
      <w:r>
        <w:t xml:space="preserve">s that older adults may be less familiar with touchscreen devices than the predominantly university-recruited young adults. However, the SRT response in this task is a finger </w:t>
      </w:r>
      <w:r>
        <w:rPr>
          <w:i/>
          <w:iCs/>
        </w:rPr>
        <w:t>lift</w:t>
      </w:r>
      <w:r>
        <w:t xml:space="preserve"> from a button already in contact—a minimal motor act that does not require t</w:t>
      </w:r>
      <w:r>
        <w:t xml:space="preserve">ouchscreen navigation skill—making tablet unfamiliarity a less plausible explanation for the SRT </w:t>
      </w:r>
      <w:r>
        <w:rPr>
          <w:i/>
          <w:iCs/>
        </w:rPr>
        <w:t>t</w:t>
      </w:r>
      <w:r>
        <w:t>₀</w:t>
      </w:r>
      <w:r>
        <w:t xml:space="preserve"> elevation than for the MT </w:t>
      </w:r>
      <w:r>
        <w:rPr>
          <w:i/>
          <w:iCs/>
        </w:rPr>
        <w:t>t</w:t>
      </w:r>
      <w:r>
        <w:t>₀</w:t>
      </w:r>
      <w:r>
        <w:t xml:space="preserve"> elevation, where the reaching movement to a target is more device-dependent. Furthermore, the elderly </w:t>
      </w:r>
      <w:r>
        <w:rPr>
          <w:i/>
          <w:iCs/>
        </w:rPr>
        <w:t>t</w:t>
      </w:r>
      <w:r>
        <w:t>₀</w:t>
      </w:r>
      <w:r>
        <w:t xml:space="preserve"> elevation is consisten</w:t>
      </w:r>
      <w:r>
        <w:t>t in direction and magnitude with laboratory-based studies using standard button-press apparatus (Der &amp; Deary, 2006; Fozard et al., 1994), suggesting that the effect reflects genuine sensorimotor slowing rather than device unfamiliarity alone. We also note</w:t>
      </w:r>
      <w:r>
        <w:t xml:space="preserve"> that as discussed in the Introduction, part of the elderly </w:t>
      </w:r>
      <w:r>
        <w:rPr>
          <w:i/>
          <w:iCs/>
        </w:rPr>
        <w:t>t</w:t>
      </w:r>
      <w:r>
        <w:t>₀</w:t>
      </w:r>
      <w:r>
        <w:t xml:space="preserve"> elevation may reflect increased response caution—a strategic shift toward prioritizing accuracy over speed—rather than purely peripheral slowing. The present SRT task cannot distinguish these c</w:t>
      </w:r>
      <w:r>
        <w:t xml:space="preserve">ontributions, as both would inflate </w:t>
      </w:r>
      <w:r>
        <w:rPr>
          <w:i/>
          <w:iCs/>
        </w:rPr>
        <w:t>t</w:t>
      </w:r>
      <w:r>
        <w:t>₀</w:t>
      </w:r>
      <w:r>
        <w:t>; future work combining SRT with explicit speed–accuracy instructions could separate the strategic from the sensorimotor component. However, the data also resist a simple “children = central, elderly = peripheral” narr</w:t>
      </w:r>
      <w:r>
        <w:t>ative. Older adults showed a large λ effect as well (</w:t>
      </w:r>
      <w:r>
        <w:rPr>
          <w:i/>
          <w:iCs/>
        </w:rPr>
        <w:t>d</w:t>
      </w:r>
      <w:r>
        <w:t xml:space="preserve"> = −0.96), suggesting that their processing speed above the sensorimotor floor was also substantially reduced under the interpretation of λ as central processing efficiency. The critical distinction lie</w:t>
      </w:r>
      <w:r>
        <w:t>s in the shape parameter: older adults’ κ deviated from young adults moderately (</w:t>
      </w:r>
      <w:r>
        <w:rPr>
          <w:i/>
          <w:iCs/>
        </w:rPr>
        <w:t>d</w:t>
      </w:r>
      <w:r>
        <w:t xml:space="preserve"> = 0.69), and—crucially—did not differ significantly from the youngest children (</w:t>
      </w:r>
      <w:r>
        <w:rPr>
          <w:i/>
          <w:iCs/>
        </w:rPr>
        <w:t>d</w:t>
      </w:r>
      <w:r>
        <w:t xml:space="preserve"> = −0.37, </w:t>
      </w:r>
      <w:r>
        <w:rPr>
          <w:i/>
          <w:iCs/>
        </w:rPr>
        <w:t>p</w:t>
      </w:r>
      <w:r>
        <w:t xml:space="preserve"> = .153). This means that while older adults were slower in both peripheral and c</w:t>
      </w:r>
      <w:r>
        <w:t xml:space="preserve">entral components, their trial-to-trial consistency was intermediate rather than selectively impaired. The elderly profile is thus better characterized as a </w:t>
      </w:r>
      <w:r>
        <w:rPr>
          <w:i/>
          <w:iCs/>
        </w:rPr>
        <w:t>compound</w:t>
      </w:r>
      <w:r>
        <w:t xml:space="preserve"> slowing—elevated floor </w:t>
      </w:r>
      <w:r>
        <w:rPr>
          <w:i/>
          <w:iCs/>
        </w:rPr>
        <w:t>plus</w:t>
      </w:r>
      <w:r>
        <w:t xml:space="preserve"> reduced efficiency—with relatively preserved processing regula</w:t>
      </w:r>
      <w:r>
        <w:t>rity, rather than pure peripheral decline.</w:t>
      </w:r>
    </w:p>
    <w:p w14:paraId="18493E58" w14:textId="77777777" w:rsidR="0031634C" w:rsidRDefault="00BD6BAD">
      <w:pPr>
        <w:pStyle w:val="a0"/>
      </w:pPr>
      <w:r>
        <w:t>This dissociation extends findings from the drift-diffusion model (DDM) literature, where Ratcliff et al. (2006, 2010) showed that older adults’ choice RT slowing reflects increased boundary separation (response c</w:t>
      </w:r>
      <w:r>
        <w:t>aution) and elevated non-decision time, while children’s slowing reflects reduced drift rates and greater cross-trial variability in non-decision time (Ratcliff et al., 2012). The present results demonstrate that an analogous decomposition holds for SRT, a</w:t>
      </w:r>
      <w:r>
        <w:t xml:space="preserve"> task where the DDM is not identifiable because it produces only correct detections without the error structure needed to constrain drift rate and boundary separation. The Weibull decomposition provides a complementary parametric lens: under the stage-base</w:t>
      </w:r>
      <w:r>
        <w:t xml:space="preserve">d interpretation, the shift parameter corresponds to what the DDM subsumes under non-decision time, the scale parameter indexes processing efficiency analogous to (though not identical with) </w:t>
      </w:r>
      <w:r>
        <w:lastRenderedPageBreak/>
        <w:t>drift rate, and the shape parameter indexes a dimension of trial-</w:t>
      </w:r>
      <w:r>
        <w:t>to-trial consistency that DDM distributes across its variability parameters. That the children–elderly dissociation is visible even when the decision component is removed (SRT has no stimulus discrimination or response selection) suggests that the dissocia</w:t>
      </w:r>
      <w:r>
        <w:t>tion resides in what DDM would lump together as non-decision time—specifically, in the subcomponents of encoding, temporal preparation, and motor programming that Weibull parameters can separate.</w:t>
      </w:r>
    </w:p>
    <w:p w14:paraId="4CE9683F" w14:textId="77777777" w:rsidR="0031634C" w:rsidRDefault="00BD6BAD">
      <w:pPr>
        <w:pStyle w:val="a0"/>
      </w:pPr>
      <w:r>
        <w:t>The SRT–MT contrast serves as internal validation of this pa</w:t>
      </w:r>
      <w:r>
        <w:t xml:space="preserve">rametric decomposition. For SRT, the dominant parameter was λ (η² = .451 vs. .354 for </w:t>
      </w:r>
      <w:r>
        <w:rPr>
          <w:i/>
          <w:iCs/>
        </w:rPr>
        <w:t>t</w:t>
      </w:r>
      <w:r>
        <w:t>₀</w:t>
      </w:r>
      <w:r>
        <w:t xml:space="preserve">), consistent with the view that age-group differences in stimulus-driven initiation are primarily driven by central processes. For MT, the dominant parameter was </w:t>
      </w:r>
      <w:r>
        <w:rPr>
          <w:i/>
          <w:iCs/>
        </w:rPr>
        <w:t>t</w:t>
      </w:r>
      <w:r>
        <w:t>₀</w:t>
      </w:r>
      <w:r>
        <w:t xml:space="preserve"> (η</w:t>
      </w:r>
      <w:r>
        <w:t xml:space="preserve">² = .440 vs. .333 for λ), consistent with the view that age-group differences in motor execution are primarily driven by peripheral and biomechanical constraints. The shape parameter (κ) showed a substantially larger effect for MT (η² = .210) than for SRT </w:t>
      </w:r>
      <w:r>
        <w:t>(η² = .075), suggesting that the consistency of motor execution is more developmentally sensitive than the consistency of response initiation—plausibly because motor execution involves biomechanical degrees of freedom (limb coordination, force calibration)</w:t>
      </w:r>
      <w:r>
        <w:t xml:space="preserve"> that are still maturing in children and declining in older adults, whereas response initiation is a ballistic trigger with fewer sources of trial-to-trial variation. This crossing pattern across response phases is incompatible with a single slowing factor</w:t>
      </w:r>
      <w:r>
        <w:t xml:space="preserve"> and supports the view that the Weibull parameters index functionally distinct processing stages (Rouder et al., 2005).</w:t>
      </w:r>
    </w:p>
    <w:p w14:paraId="31510E28" w14:textId="77777777" w:rsidR="0031634C" w:rsidRDefault="00BD6BAD">
      <w:pPr>
        <w:pStyle w:val="3"/>
      </w:pPr>
      <w:bookmarkStart w:id="23" w:name="Xf1023ea71473c2a6de4e4f3e3414f3cfaef5a94"/>
      <w:bookmarkEnd w:id="22"/>
      <w:r>
        <w:t>Correlation Structure and the Dedifferentiation Hypothesis</w:t>
      </w:r>
    </w:p>
    <w:p w14:paraId="0D98E322" w14:textId="77777777" w:rsidR="0031634C" w:rsidRDefault="00BD6BAD">
      <w:pPr>
        <w:pStyle w:val="FirstParagraph"/>
      </w:pPr>
      <w:r>
        <w:t>The third research question concerned whether the correlation structure among</w:t>
      </w:r>
      <w:r>
        <w:t xml:space="preserve"> Weibull parameters changes across age groups, as predicted by the dedifferentiation hypothesis (Baltes &amp; Lindenberger, 1997; Li et al., 2004). Box’s </w:t>
      </w:r>
      <w:r>
        <w:rPr>
          <w:i/>
          <w:iCs/>
        </w:rPr>
        <w:t>M</w:t>
      </w:r>
      <w:r>
        <w:t xml:space="preserve"> test confirmed significant heterogeneity of within-group covariance matrices (</w:t>
      </w:r>
      <w:r>
        <w:rPr>
          <w:i/>
          <w:iCs/>
        </w:rPr>
        <w:t>M</w:t>
      </w:r>
      <w:r>
        <w:t xml:space="preserve"> = 8006.76, </w:t>
      </w:r>
      <w:r>
        <w:rPr>
          <w:i/>
          <w:iCs/>
        </w:rPr>
        <w:t>p</w:t>
      </w:r>
      <w:r>
        <w:t xml:space="preserve"> &lt; .001), th</w:t>
      </w:r>
      <w:r>
        <w:t>ough the extreme denominator degrees of freedom and the test’s known sensitivity to large samples (Tabachnick &amp; Fidell, 2013) limit interpretive weight.</w:t>
      </w:r>
    </w:p>
    <w:p w14:paraId="3D4E5795" w14:textId="77777777" w:rsidR="0031634C" w:rsidRDefault="00BD6BAD">
      <w:pPr>
        <w:pStyle w:val="a0"/>
      </w:pPr>
      <w:r>
        <w:t>Inspection of the pooled within-group correlation matrix, and the within-group matrices individually, r</w:t>
      </w:r>
      <w:r>
        <w:t>evealed a pattern that partially contradicts the dedifferentiation prediction. The three middle age groups (7–12, 13–17, 18–30) showed broadly similar correlation structures, consistent with a stable factorial organization of distributional parameters acro</w:t>
      </w:r>
      <w:r>
        <w:t xml:space="preserve">ss the period of rapid cognitive development and into maturity. The youngest children (&lt; 7) showed stronger negative </w:t>
      </w:r>
      <w:r>
        <w:rPr>
          <w:i/>
          <w:iCs/>
        </w:rPr>
        <w:t>t</w:t>
      </w:r>
      <w:r>
        <w:t>₀–</w:t>
      </w:r>
      <w:r>
        <w:t>κ associations than other groups, suggesting that in early childhood, the peripheral floor and processing consistency are more tightly c</w:t>
      </w:r>
      <w:r>
        <w:t>oupled—when the irreducible latency is high, the variable component of processing is compressed into a narrower window, producing less symmetric distributions. Older adults, contrary to the dedifferentiation prediction, showed weaker cross-parameter associ</w:t>
      </w:r>
      <w:r>
        <w:t>ations rather than stronger ones. If dedifferentiation extends to the subcomponent level within a single RT distribution, the parameters should become more intercorrelated as biological constraints increasingly limit performance across processing stages in</w:t>
      </w:r>
      <w:r>
        <w:t xml:space="preserve"> old age. The data did not support this.</w:t>
      </w:r>
    </w:p>
    <w:p w14:paraId="0182CCDE" w14:textId="77777777" w:rsidR="0031634C" w:rsidRDefault="00BD6BAD">
      <w:pPr>
        <w:pStyle w:val="a0"/>
      </w:pPr>
      <w:r>
        <w:t>Two interpretations merit consideration. First, dedifferentiation may operate at a different grain size than the one tested here. The hypothesis was formulated primarily at the psychometric level—across broad cognitive abilities measured by diverse tasks (</w:t>
      </w:r>
      <w:r>
        <w:t>fluid intelligence, memory, processing speed; Tucker-Drob, 2009; Hartung et al., 2018). The parameters of a Weibull distribution fitted to a single SRT task may index processes that are too fine-grained, and too constrained by task physics, to show the kin</w:t>
      </w:r>
      <w:r>
        <w:t>d of general biological coupling that dedifferentiation envisions. Testing dedifferentiation at the level of distributional parameters within a single task is novel—most prior tests use across-task psychometric batteries—and our null result may represent a</w:t>
      </w:r>
      <w:r>
        <w:t xml:space="preserve"> boundary condition rather than a disconfirmation. Second, the modest elderly sample (</w:t>
      </w:r>
      <w:r>
        <w:rPr>
          <w:i/>
          <w:iCs/>
        </w:rPr>
        <w:t>n</w:t>
      </w:r>
      <w:r>
        <w:t xml:space="preserve"> = 72) may have been insufficiently powered to detect subtle changes in correlation structure, particularly given the high within-group variability that characterizes th</w:t>
      </w:r>
      <w:r>
        <w:t xml:space="preserve">is age </w:t>
      </w:r>
      <w:r>
        <w:lastRenderedPageBreak/>
        <w:t>group. Future studies with larger elderly samples, and ideally with longitudinal follow-up, will be needed to adjudicate.</w:t>
      </w:r>
    </w:p>
    <w:p w14:paraId="11FA1D0B" w14:textId="77777777" w:rsidR="0031634C" w:rsidRDefault="00BD6BAD">
      <w:pPr>
        <w:pStyle w:val="a0"/>
      </w:pPr>
      <w:r>
        <w:t>A related question is whether the six Weibull parameters should be analyzed individually or reduced to latent composites via fa</w:t>
      </w:r>
      <w:r>
        <w:t>ctor analysis. The correlation data provide a clear answer without requiring formal factor extraction. The overall correlation matrix showed moderate-to-strong associations among the parameters (e.g., λ</w:t>
      </w:r>
      <w:r>
        <w:rPr>
          <w:vertAlign w:val="subscript"/>
        </w:rPr>
        <w:t>SRT</w:t>
      </w:r>
      <w:r>
        <w:t>–λ</w:t>
      </w:r>
      <w:r>
        <w:rPr>
          <w:vertAlign w:val="subscript"/>
        </w:rPr>
        <w:t>MT</w:t>
      </w:r>
      <w:r>
        <w:t xml:space="preserve"> </w:t>
      </w:r>
      <w:r>
        <w:rPr>
          <w:i/>
          <w:iCs/>
        </w:rPr>
        <w:t>r</w:t>
      </w:r>
      <w:r>
        <w:t xml:space="preserve"> = .66; </w:t>
      </w:r>
      <w:r>
        <w:rPr>
          <w:i/>
          <w:iCs/>
        </w:rPr>
        <w:t>t</w:t>
      </w:r>
      <w:r>
        <w:t>₀</w:t>
      </w:r>
      <w:r>
        <w:rPr>
          <w:vertAlign w:val="subscript"/>
        </w:rPr>
        <w:t>SRT</w:t>
      </w:r>
      <w:r>
        <w:t>–</w:t>
      </w:r>
      <w:r>
        <w:rPr>
          <w:i/>
          <w:iCs/>
        </w:rPr>
        <w:t>t</w:t>
      </w:r>
      <w:r>
        <w:t>₀</w:t>
      </w:r>
      <w:r>
        <w:rPr>
          <w:vertAlign w:val="subscript"/>
        </w:rPr>
        <w:t>MT</w:t>
      </w:r>
      <w:r>
        <w:t xml:space="preserve"> </w:t>
      </w:r>
      <w:r>
        <w:rPr>
          <w:i/>
          <w:iCs/>
        </w:rPr>
        <w:t>r</w:t>
      </w:r>
      <w:r>
        <w:t xml:space="preserve"> = .50), which might sugg</w:t>
      </w:r>
      <w:r>
        <w:t>est a common latent factor. However, the pooled within-group matrix—which removes the between-group mean differences that inflate these associations—told a dramatically different story. Cross-parameter correlations collapsed: λ</w:t>
      </w:r>
      <w:r>
        <w:rPr>
          <w:vertAlign w:val="subscript"/>
        </w:rPr>
        <w:t>SRT</w:t>
      </w:r>
      <w:r>
        <w:t>–λ</w:t>
      </w:r>
      <w:r>
        <w:rPr>
          <w:vertAlign w:val="subscript"/>
        </w:rPr>
        <w:t>MT</w:t>
      </w:r>
      <w:r>
        <w:t xml:space="preserve"> dropped from .66 to .</w:t>
      </w:r>
      <w:r>
        <w:t xml:space="preserve">22 (a 67% reduction), </w:t>
      </w:r>
      <w:r>
        <w:rPr>
          <w:i/>
          <w:iCs/>
        </w:rPr>
        <w:t>t</w:t>
      </w:r>
      <w:r>
        <w:t>₀</w:t>
      </w:r>
      <w:r>
        <w:rPr>
          <w:vertAlign w:val="subscript"/>
        </w:rPr>
        <w:t>SRT</w:t>
      </w:r>
      <w:r>
        <w:t>–λ</w:t>
      </w:r>
      <w:r>
        <w:rPr>
          <w:vertAlign w:val="subscript"/>
        </w:rPr>
        <w:t>SRT</w:t>
      </w:r>
      <w:r>
        <w:t xml:space="preserve"> dropped from .42 to .07 (83% reduction), and κ</w:t>
      </w:r>
      <w:r>
        <w:rPr>
          <w:vertAlign w:val="subscript"/>
        </w:rPr>
        <w:t>SRT</w:t>
      </w:r>
      <w:r>
        <w:t>–κ</w:t>
      </w:r>
      <w:r>
        <w:rPr>
          <w:vertAlign w:val="subscript"/>
        </w:rPr>
        <w:t>MT</w:t>
      </w:r>
      <w:r>
        <w:t xml:space="preserve"> dropped from .18 to .08 (58% reduction). The apparent latent structure in the overall matrix was almost entirely a developmental confound—children and older adults produ</w:t>
      </w:r>
      <w:r>
        <w:t xml:space="preserve">ce correlated parameter values across tasks because their processing systems are at the same developmental stage, not because a stable individual-differences factor links these parameters. Furthermore, Box’s </w:t>
      </w:r>
      <w:r>
        <w:rPr>
          <w:i/>
          <w:iCs/>
        </w:rPr>
        <w:t>M</w:t>
      </w:r>
      <w:r>
        <w:t xml:space="preserve"> test confirmed that the covariance structure d</w:t>
      </w:r>
      <w:r>
        <w:t>iffers fundamentally across age groups (</w:t>
      </w:r>
      <w:r>
        <w:rPr>
          <w:i/>
          <w:iCs/>
        </w:rPr>
        <w:t>M</w:t>
      </w:r>
      <w:r>
        <w:t xml:space="preserve"> = 8006.76, </w:t>
      </w:r>
      <w:r>
        <w:rPr>
          <w:i/>
          <w:iCs/>
        </w:rPr>
        <w:t>p</w:t>
      </w:r>
      <w:r>
        <w:t xml:space="preserve"> &lt; .001), violating a core assumption of pooled factor analysis. Given that the adult group constitutes 78.5% of the total sample, a pooled EFA would effectively recover the adult structure while the de</w:t>
      </w:r>
      <w:r>
        <w:t xml:space="preserve">velopmental groups—precisely those of theoretical interest—would have negligible influence on the solution. Within age groups, most cross-parameter associations fall below </w:t>
      </w:r>
      <w:r>
        <w:rPr>
          <w:i/>
          <w:iCs/>
        </w:rPr>
        <w:t>r</w:t>
      </w:r>
      <w:r>
        <w:t xml:space="preserve"> = .25, well below conventional thresholds for meaningful factor loading. The one n</w:t>
      </w:r>
      <w:r>
        <w:t xml:space="preserve">otable exception—the </w:t>
      </w:r>
      <w:r>
        <w:rPr>
          <w:i/>
          <w:iCs/>
        </w:rPr>
        <w:t>t</w:t>
      </w:r>
      <w:r>
        <w:t>₀–</w:t>
      </w:r>
      <w:r>
        <w:t>κ association within SRT (</w:t>
      </w:r>
      <w:r>
        <w:rPr>
          <w:i/>
          <w:iCs/>
        </w:rPr>
        <w:t>r</w:t>
      </w:r>
      <w:r>
        <w:rPr>
          <w:vertAlign w:val="subscript"/>
        </w:rPr>
        <w:t>pooled</w:t>
      </w:r>
      <w:r>
        <w:t xml:space="preserve"> </w:t>
      </w:r>
      <w:r>
        <w:t>= −.48)—reflects a within-task speed–consistency tradeoff, not a cross-task latent factor, and may partly reflect a statistical dependency in Weibull parameter estimation where shift and shape can trade off during fitting. Together, these observations supp</w:t>
      </w:r>
      <w:r>
        <w:t>ort the present analytic strategy of treating the six parameters as empirically distinct individual-differences dimensions, and they argue against reducing them to composites that would discard the very parametric specificity that motivates the Weibull app</w:t>
      </w:r>
      <w:r>
        <w:t>roach.</w:t>
      </w:r>
    </w:p>
    <w:p w14:paraId="4338F1E9" w14:textId="77777777" w:rsidR="0031634C" w:rsidRDefault="00BD6BAD">
      <w:pPr>
        <w:pStyle w:val="3"/>
      </w:pPr>
      <w:bookmarkStart w:id="24" w:name="X4ed37d3bbfde52b736d58ec04397100584b34f1"/>
      <w:bookmarkEnd w:id="23"/>
      <w:r>
        <w:t>The Shifted Weibull as a Distributional Tool for SRT</w:t>
      </w:r>
    </w:p>
    <w:p w14:paraId="7AA53E7C" w14:textId="77777777" w:rsidR="0031634C" w:rsidRDefault="00BD6BAD">
      <w:pPr>
        <w:pStyle w:val="FirstParagraph"/>
      </w:pPr>
      <w:r>
        <w:t>The choice of the shifted Weibull over the ex-Gaussian or other distributional families was motivated primarily by the availability of Rouder et al.’s (2003, 2005) hierarchical Bayesian framework,</w:t>
      </w:r>
      <w:r>
        <w:t xml:space="preserve"> which was designed specifically for the Weibull and provides stable parameter estimates with small trial counts. The ex-Gaussian remains a viable alternative and has been applied successfully in developmental and clinical RT research (Hwang-Gu et al., 201</w:t>
      </w:r>
      <w:r>
        <w:t>3; Leth-Steensen et al., 2000; Spieler et al., 1996). The Weibull’s stage-based interpretation—</w:t>
      </w:r>
      <w:r>
        <w:rPr>
          <w:i/>
          <w:iCs/>
        </w:rPr>
        <w:t>t</w:t>
      </w:r>
      <w:r>
        <w:t>₀</w:t>
      </w:r>
      <w:r>
        <w:t xml:space="preserve"> as the peripheral floor, λ as the spread of processing above this floor, κ as processing consistency—offered a useful framework for generating predictions abo</w:t>
      </w:r>
      <w:r>
        <w:t>ut which distributional components should differ between SRT and MT and across age groups, but we do not claim that the Weibull is inherently superior to the ex-Gaussian for all purposes.</w:t>
      </w:r>
    </w:p>
    <w:p w14:paraId="305B2477" w14:textId="77777777" w:rsidR="0031634C" w:rsidRDefault="00BD6BAD">
      <w:pPr>
        <w:pStyle w:val="a0"/>
      </w:pPr>
      <w:r>
        <w:t>The present data provide new selective influence evidence for the We</w:t>
      </w:r>
      <w:r>
        <w:t>ibull decomposition, though the epistemic status of this evidence requires careful specification. The cognitive interpretations of Weibull parameters—</w:t>
      </w:r>
      <w:r>
        <w:rPr>
          <w:i/>
          <w:iCs/>
        </w:rPr>
        <w:t>t</w:t>
      </w:r>
      <w:r>
        <w:t>₀</w:t>
      </w:r>
      <w:r>
        <w:t xml:space="preserve"> as peripheral latency, λ as central efficiency, κ as processing consistency—were motivated by prior the</w:t>
      </w:r>
      <w:r>
        <w:t>oretical work (Rouder et al., 2005; Dzhafarov, 1992) and experimental evidence from symbolic distance tasks, where stimulus difficulty selectively affected the scale parameter without altering the shift (Rouder et al., 2005). Using the present age-group da</w:t>
      </w:r>
      <w:r>
        <w:t>ta to both validate and apply these mappings would risk circularity. The critical non-circular evidence is the SRT–MT contrast, which does not depend on the age comparison: for SRT (a centrally-driven task), λ dominated age-related variance (η² = .451); fo</w:t>
      </w:r>
      <w:r>
        <w:t xml:space="preserve">r MT (a peripherally-driven task), </w:t>
      </w:r>
      <w:r>
        <w:rPr>
          <w:i/>
          <w:iCs/>
        </w:rPr>
        <w:t>t</w:t>
      </w:r>
      <w:r>
        <w:t>₀</w:t>
      </w:r>
      <w:r>
        <w:t xml:space="preserve"> dominated (η² = .440). This crossing interaction is predicted by the stage-based account and would not occur if the three parameters were interchangeable reflections of a single speed factor. The age comparisons are </w:t>
      </w:r>
      <w:r>
        <w:rPr>
          <w:i/>
          <w:iCs/>
        </w:rPr>
        <w:t>co</w:t>
      </w:r>
      <w:r>
        <w:rPr>
          <w:i/>
          <w:iCs/>
        </w:rPr>
        <w:t>nsistent</w:t>
      </w:r>
      <w:r>
        <w:t xml:space="preserve"> with the parameter interpretations but are not the sole basis for them. The within-group pooled correlations provide additional non-circular evidence: </w:t>
      </w:r>
      <w:r>
        <w:rPr>
          <w:i/>
          <w:iCs/>
        </w:rPr>
        <w:t>t</w:t>
      </w:r>
      <w:r>
        <w:t>₀</w:t>
      </w:r>
      <w:r>
        <w:rPr>
          <w:vertAlign w:val="subscript"/>
        </w:rPr>
        <w:t>SRT</w:t>
      </w:r>
      <w:r>
        <w:t xml:space="preserve"> and λ</w:t>
      </w:r>
      <w:r>
        <w:rPr>
          <w:vertAlign w:val="subscript"/>
        </w:rPr>
        <w:t>SRT</w:t>
      </w:r>
      <w:r>
        <w:t xml:space="preserve"> were nearly independent (</w:t>
      </w:r>
      <w:r>
        <w:rPr>
          <w:i/>
          <w:iCs/>
        </w:rPr>
        <w:t>r</w:t>
      </w:r>
      <w:r>
        <w:rPr>
          <w:vertAlign w:val="subscript"/>
        </w:rPr>
        <w:t>pooled</w:t>
      </w:r>
      <w:r>
        <w:t xml:space="preserve"> = .07), and κ</w:t>
      </w:r>
      <w:r>
        <w:rPr>
          <w:vertAlign w:val="subscript"/>
        </w:rPr>
        <w:t>SRT</w:t>
      </w:r>
      <w:r>
        <w:t xml:space="preserve"> and κ</w:t>
      </w:r>
      <w:r>
        <w:rPr>
          <w:vertAlign w:val="subscript"/>
        </w:rPr>
        <w:t>MT</w:t>
      </w:r>
      <w:r>
        <w:t xml:space="preserve"> were only weakly associ</w:t>
      </w:r>
      <w:r>
        <w:t>ated (</w:t>
      </w:r>
      <w:r>
        <w:rPr>
          <w:i/>
          <w:iCs/>
        </w:rPr>
        <w:t>r</w:t>
      </w:r>
      <w:r>
        <w:rPr>
          <w:vertAlign w:val="subscript"/>
        </w:rPr>
        <w:t>pooled</w:t>
      </w:r>
      <w:r>
        <w:t xml:space="preserve"> = .08), confirming that same-parameter estimates across response </w:t>
      </w:r>
      <w:r>
        <w:lastRenderedPageBreak/>
        <w:t>phases index partly independent individual-differences dimensions. These results extend the selective influence evidence from the experimental domain to the developmental domain</w:t>
      </w:r>
      <w:r>
        <w:t>, where age acts as a naturally occurring source of influence on distinct processing stages—but we acknowledge that a definitive within-study test would require experimental manipulation of foreperiod variability, stimulus intensity, or cognitive load alon</w:t>
      </w:r>
      <w:r>
        <w:t>gside the developmental comparison. Myerson and Lawrence (2007) also applied the Weibull to aging RT distributions, but in choice RT paradigms; the present study demonstrates the utility of the Weibull decomposition for simple RT, where the absence of a de</w:t>
      </w:r>
      <w:r>
        <w:t>cision component simplifies the mapping between parameters and processing stages.</w:t>
      </w:r>
    </w:p>
    <w:p w14:paraId="3392C82A" w14:textId="77777777" w:rsidR="0031634C" w:rsidRDefault="00BD6BAD">
      <w:pPr>
        <w:pStyle w:val="3"/>
      </w:pPr>
      <w:bookmarkStart w:id="25" w:name="methodological-contributions"/>
      <w:bookmarkEnd w:id="24"/>
      <w:r>
        <w:t>Methodological Contributions</w:t>
      </w:r>
    </w:p>
    <w:p w14:paraId="2115D26B" w14:textId="77777777" w:rsidR="0031634C" w:rsidRDefault="00BD6BAD">
      <w:pPr>
        <w:pStyle w:val="FirstParagraph"/>
      </w:pPr>
      <w:r>
        <w:t>Three methodological features of this study merit discussion as contributions to the RT distributional analysis literature. First, the hierarchic</w:t>
      </w:r>
      <w:r>
        <w:t>al Bayesian framework proved essential for the data structure at hand. With only 20 formal trials per participant, individual-level maximum likelihood estimation of three-parameter Weibull distributions would be unstable and frequently yield boundary estim</w:t>
      </w:r>
      <w:r>
        <w:t>ates (Rouder et al., 2003). The HBM’s partial pooling stabilized individual estimates by borrowing strength across participants within each age group. Critically, the group-level hyperparameters that govern this pooling are not estimated from any single pa</w:t>
      </w:r>
      <w:r>
        <w:t>rticipant’s 20 trials but from the full group (</w:t>
      </w:r>
      <w:r>
        <w:rPr>
          <w:i/>
          <w:iCs/>
        </w:rPr>
        <w:t>n</w:t>
      </w:r>
      <w:r>
        <w:t xml:space="preserve"> = 56 to 1,299), giving them a precision that does not depend on within-subject trial counts. Rouder et al. (2005) demonstrated via simulation that this hierarchical Weibull model recovers individual paramete</w:t>
      </w:r>
      <w:r>
        <w:t>rs more accurately than MLE, Vincentizing, or quantile-based estimation specifically when trial counts are low (25 trials per participant in their simulations, comparable to the present protocol). The shrinkage is adaptive: participants with fewer usable t</w:t>
      </w:r>
      <w:r>
        <w:t>rials or more extreme data are pulled more strongly toward their group mean, while those with many consistent trials retain estimates close to their individual MLEs. This produces conservative estimates of between-person variability—shrinkage attenuates in</w:t>
      </w:r>
      <w:r>
        <w:t>dividual extremes, which would, if anything, understate rather than overstate the age-group differences reported here. The convergence diagnostics (98.0% for both SRT and MT, median ESS of 177 and 126, respectively) and posterior predictive checks (coverag</w:t>
      </w:r>
      <w:r>
        <w:t>e .94–.97) confirm that the model’s uncertainty quantification is well calibrated, not that estimation uncertainty is hidden. We emphasize that the present conclusions rest on group-level parameter comparisons (ANOVA, post-hoc contrasts), which benefit fro</w:t>
      </w:r>
      <w:r>
        <w:t>m the full sample size, not on individual-level diagnosis. The lower ESS for MT (median 126 vs. 177 for SRT) in the adult group suggests that the large group size introduced greater posterior complexity, and future implementations might benefit from longer</w:t>
      </w:r>
      <w:r>
        <w:t xml:space="preserve"> chains or more aggressive thinning for very large groups.</w:t>
      </w:r>
    </w:p>
    <w:p w14:paraId="5D362092" w14:textId="77777777" w:rsidR="0031634C" w:rsidRDefault="00BD6BAD">
      <w:pPr>
        <w:pStyle w:val="a0"/>
      </w:pPr>
      <w:r>
        <w:t>Second, the tablet-based assessment platform demonstrated that distributional analysis of SRT is feasible outside the laboratory. The touchscreen device provided hardware-level separation of SRT fr</w:t>
      </w:r>
      <w:r>
        <w:t>om MT, yielding the SRT/MT decomposition without specialized response boxes. Mean trial retention was high across age groups (17.8–18.6 out of 20 trials), and outlier rates were modest (6.8–10.9%). The practical implication is that the Weibull decompositio</w:t>
      </w:r>
      <w:r>
        <w:t xml:space="preserve">n can be applied in schools, community centers, and clinical settings where session time is limited and controlled laboratory conditions are unavailable. This extends the argument made by Bignardi et al. (2021) for tablet-based cognitive assessment to the </w:t>
      </w:r>
      <w:r>
        <w:t>specific domain of RT distributional analysis.</w:t>
      </w:r>
    </w:p>
    <w:p w14:paraId="008C68BE" w14:textId="77777777" w:rsidR="0031634C" w:rsidRDefault="00BD6BAD">
      <w:pPr>
        <w:pStyle w:val="a0"/>
      </w:pPr>
      <w:r>
        <w:t>Third, the SRT/MT decomposition itself merits adoption as standard practice in reaching-based RT tasks across developmental and aging samples. Total response time in reaching paradigms conflates pre-motor cogn</w:t>
      </w:r>
      <w:r>
        <w:t>itive processes with motor execution. In a cross-sectional sample spanning childhood through older adulthood, where motor capabilities differ substantially across age groups—young children are still refining upper-limb coordination, while older adults face</w:t>
      </w:r>
      <w:r>
        <w:t xml:space="preserve"> biomechanical and musculoskeletal constraints—this confound is not trivial. The present results show that the Weibull parameter that dominates age-related variance </w:t>
      </w:r>
      <w:r>
        <w:rPr>
          <w:i/>
          <w:iCs/>
        </w:rPr>
        <w:t>changes</w:t>
      </w:r>
      <w:r>
        <w:t xml:space="preserve"> depending on whether SRT or MT is analyzed. Collapsing across both phases, as is co</w:t>
      </w:r>
      <w:r>
        <w:t>mmon in studies reporting only total RT, would obscure this dissociation and lead to conclusions about “processing speed” that are contaminated by motor execution differences.</w:t>
      </w:r>
    </w:p>
    <w:p w14:paraId="259B037D" w14:textId="77777777" w:rsidR="0031634C" w:rsidRDefault="00BD6BAD">
      <w:pPr>
        <w:pStyle w:val="3"/>
      </w:pPr>
      <w:bookmarkStart w:id="26" w:name="model-limitations-and-extensions"/>
      <w:bookmarkEnd w:id="25"/>
      <w:r>
        <w:lastRenderedPageBreak/>
        <w:t>Model Limitations and Extensions</w:t>
      </w:r>
    </w:p>
    <w:p w14:paraId="46E18A4F" w14:textId="77777777" w:rsidR="0031634C" w:rsidRDefault="00BD6BAD">
      <w:pPr>
        <w:pStyle w:val="FirstParagraph"/>
      </w:pPr>
      <w:r>
        <w:t>Several limitations qualify the present conclus</w:t>
      </w:r>
      <w:r>
        <w:t>ions. First, while the posterior predictive checks indicated overall model adequacy, the variability test (</w:t>
      </w:r>
      <w:r>
        <w:rPr>
          <w:i/>
          <w:iCs/>
        </w:rPr>
        <w:t>T</w:t>
      </w:r>
      <w:r>
        <w:rPr>
          <w:vertAlign w:val="subscript"/>
        </w:rPr>
        <w:t>sd</w:t>
      </w:r>
      <w:r>
        <w:t>) identified elevated misfit rates in some groups (up to 7.1% for SRT in adolescents), suggesting that the single Weibull distribution underestima</w:t>
      </w:r>
      <w:r>
        <w:t>tes trial-to-trial variability for a subset of participants. This is consistent with participants who produce an attentional lapse on one or more trials, generating an occasional extreme slow response that a single Weibull cannot accommodate. A contaminati</w:t>
      </w:r>
      <w:r>
        <w:t>on mixture extension—for example, a Weibull distribution for on-task trials combined with a uniform or exponential lapse component (Ratcliff &amp; Tuerlinckx, 2002)—would provide a principled way to absorb these outlying responses without distorting the primar</w:t>
      </w:r>
      <w:r>
        <w:t xml:space="preserve">y distributional parameters. Critically, the misfit did not concentrate in the groups central to our theoretical conclusions: the youngest children and older adults both showed 0% </w:t>
      </w:r>
      <w:r>
        <w:rPr>
          <w:i/>
          <w:iCs/>
        </w:rPr>
        <w:t>T</w:t>
      </w:r>
      <w:r>
        <w:rPr>
          <w:vertAlign w:val="subscript"/>
        </w:rPr>
        <w:t>sd</w:t>
      </w:r>
      <w:r>
        <w:t xml:space="preserve"> extreme values for SRT, meaning the model fit </w:t>
      </w:r>
      <w:r>
        <w:rPr>
          <w:i/>
          <w:iCs/>
        </w:rPr>
        <w:t>best</w:t>
      </w:r>
      <w:r>
        <w:t xml:space="preserve"> in the groups where t</w:t>
      </w:r>
      <w:r>
        <w:t>he dissociable-routes argument rests. The 7.1% adolescent rate should be evaluated against the expected rate under a well-specified model: with a two-tailed 10% criterion (5% in each tail), some participants will appear extreme by chance, and 7.1% is withi</w:t>
      </w:r>
      <w:r>
        <w:t>n the range expected under adequate specification. Moreover, adding a contamination component would increase model complexity in a context where trial counts are already limited (20 per participant), potentially creating identifiability problems that are a</w:t>
      </w:r>
      <w:r>
        <w:t xml:space="preserve"> different manifestation of the data-sparsity concern. We regard the mixture extension as a worthwhile robustness check for future work with longer protocols, not as evidence that the current model is structurally inadequate for the group-level conclusions</w:t>
      </w:r>
      <w:r>
        <w:t xml:space="preserve"> drawn here.</w:t>
      </w:r>
    </w:p>
    <w:p w14:paraId="5583CB02" w14:textId="77777777" w:rsidR="0031634C" w:rsidRDefault="00BD6BAD">
      <w:pPr>
        <w:pStyle w:val="a0"/>
      </w:pPr>
      <w:r>
        <w:t>Second, the 20-trial protocol is shorter than the 50–100 trials typically recommended for individual-level distributional analysis via maximum likelihood (Ratcliff &amp; Tuerlinckx, 2002). This recommendation, however, was established for non-hier</w:t>
      </w:r>
      <w:r>
        <w:t>archical estimation, where each participant’s parameters must be recovered from their own data alone. Under HBM, the effective information available for each individual’s estimate includes both their own trials and the group-level distribution estimated fr</w:t>
      </w:r>
      <w:r>
        <w:t xml:space="preserve">om all participants in their age group. Rouder et al. (2005, Simulation Study 1) showed that hierarchical Bayesian estimation with 25 trials per participant produced lower root mean squared error than MLE with the same trial count, and comparable accuracy </w:t>
      </w:r>
      <w:r>
        <w:t>to MLE with substantially more trials. The bias-variance tradeoff under hierarchical estimation favors stabilized (lower-variance) estimates at the cost of some shrinkage toward the group mean. For participants near the group center, the bias is negligible</w:t>
      </w:r>
      <w:r>
        <w:t xml:space="preserve"> and the variance reduction is substantial. For participants at the extremes, shrinkage may attenuate genuine individual differences. The net effect is to produce conservative group-level comparisons; the large effect sizes reported here (</w:t>
      </w:r>
      <w:r>
        <w:rPr>
          <w:i/>
          <w:iCs/>
        </w:rPr>
        <w:t>d</w:t>
      </w:r>
      <w:r>
        <w:t xml:space="preserve"> = 0.69–1.85 for</w:t>
      </w:r>
      <w:r>
        <w:t xml:space="preserve"> critical contrasts) are unlikely to be artifacts of HBM shrinkage, which would work in the opposite direction. Nevertheless, future studies should systematically investigate the trial count × HBM interaction to establish the minimum number of trials neede</w:t>
      </w:r>
      <w:r>
        <w:t>d for reliable parameter recovery at both the individual and group levels.</w:t>
      </w:r>
    </w:p>
    <w:p w14:paraId="3C0FE6D7" w14:textId="77777777" w:rsidR="0031634C" w:rsidRDefault="00BD6BAD">
      <w:pPr>
        <w:pStyle w:val="a0"/>
      </w:pPr>
      <w:r>
        <w:t>Third, the cross-sectional design cannot distinguish age effects from cohort effects. The young adult sample (</w:t>
      </w:r>
      <w:r>
        <w:rPr>
          <w:i/>
          <w:iCs/>
        </w:rPr>
        <w:t>n</w:t>
      </w:r>
      <w:r>
        <w:t xml:space="preserve"> = 1,299) was predominantly university students, while the elderly sam</w:t>
      </w:r>
      <w:r>
        <w:t>ple (</w:t>
      </w:r>
      <w:r>
        <w:rPr>
          <w:i/>
          <w:iCs/>
        </w:rPr>
        <w:t>n</w:t>
      </w:r>
      <w:r>
        <w:t xml:space="preserve"> = 72) was community-recruited. These groups differ in education, technology familiarity, and likely in health status. Touchscreen familiarity is a specific concern: older adults less accustomed to tablet interaction may produce elevated shift values</w:t>
      </w:r>
      <w:r>
        <w:t xml:space="preserve"> that partly reflect unfamiliarity rather than pure sensorimotor limitation. This confound is more plausible for MT, where the response requires reaching to a target on the touchscreen, than for SRT, where the response is a finger lift from a button alread</w:t>
      </w:r>
      <w:r>
        <w:t xml:space="preserve">y in sustained contact. If tablet unfamiliarity were the primary driver of the elderly </w:t>
      </w:r>
      <w:r>
        <w:rPr>
          <w:i/>
          <w:iCs/>
        </w:rPr>
        <w:t>t</w:t>
      </w:r>
      <w:r>
        <w:t>₀</w:t>
      </w:r>
      <w:r>
        <w:t xml:space="preserve"> elevation, we would expect a substantially larger effect for MT than SRT; the observed effects were comparable in magnitude (</w:t>
      </w:r>
      <w:r>
        <w:rPr>
          <w:i/>
          <w:iCs/>
        </w:rPr>
        <w:t>d</w:t>
      </w:r>
      <w:r>
        <w:t xml:space="preserve"> = −1.85 for SRT, −1.69 for MT), consist</w:t>
      </w:r>
      <w:r>
        <w:t>ent with a general sensorimotor slowing account rather than a device-specific confound. Nevertheless, a definitive test would require either a within-subjects control for tablet experience or a comparison with standard laboratory button-press RT. Longitudi</w:t>
      </w:r>
      <w:r>
        <w:t>nal or accelerated longitudinal designs would further allow within-person inference and support latent growth curve modeling of individual Weibull parameters.</w:t>
      </w:r>
    </w:p>
    <w:p w14:paraId="49179B26" w14:textId="77777777" w:rsidR="0031634C" w:rsidRDefault="00BD6BAD">
      <w:pPr>
        <w:pStyle w:val="a0"/>
      </w:pPr>
      <w:r>
        <w:lastRenderedPageBreak/>
        <w:t>Fourth, the substantial group size imbalance (</w:t>
      </w:r>
      <w:r>
        <w:rPr>
          <w:i/>
          <w:iCs/>
        </w:rPr>
        <w:t>n</w:t>
      </w:r>
      <w:r>
        <w:t xml:space="preserve"> = 56 to 1,299) raises the question of whether the</w:t>
      </w:r>
      <w:r>
        <w:t xml:space="preserve"> HBM’s partial pooling adequately serves the smaller groups. Under HBM, the group-level hyperparameters for small groups are estimated with greater uncertainty, and individual estimates within those groups are consequently shrunk more toward the group mean</w:t>
      </w:r>
      <w:r>
        <w:t xml:space="preserve">. This could attenuate the apparent heterogeneity in the smallest groups (adolescents, </w:t>
      </w:r>
      <w:r>
        <w:rPr>
          <w:i/>
          <w:iCs/>
        </w:rPr>
        <w:t>n</w:t>
      </w:r>
      <w:r>
        <w:t xml:space="preserve"> = 56; older adults, </w:t>
      </w:r>
      <w:r>
        <w:rPr>
          <w:i/>
          <w:iCs/>
        </w:rPr>
        <w:t>n</w:t>
      </w:r>
      <w:r>
        <w:t xml:space="preserve"> = 72), potentially leading to underestimation of individual differences. The practical consequence for the present analyses is that non-significa</w:t>
      </w:r>
      <w:r>
        <w:t>nt post-hoc comparisons involving these groups should be interpreted with caution, as the absence of evidence is not evidence of absence. Group-size scaling of hyperprior variances was implemented to mitigate this issue, but larger developmental samples at</w:t>
      </w:r>
      <w:r>
        <w:t xml:space="preserve"> the age extremes remain a priority.</w:t>
      </w:r>
    </w:p>
    <w:p w14:paraId="29A7E0DD" w14:textId="77777777" w:rsidR="0031634C" w:rsidRDefault="00BD6BAD">
      <w:pPr>
        <w:pStyle w:val="a0"/>
      </w:pPr>
      <w:r>
        <w:t>Fifth, the cognitive interpretations of Weibull parameters—</w:t>
      </w:r>
      <w:r>
        <w:rPr>
          <w:i/>
          <w:iCs/>
        </w:rPr>
        <w:t>t</w:t>
      </w:r>
      <w:r>
        <w:t>₀</w:t>
      </w:r>
      <w:r>
        <w:t xml:space="preserve"> as peripheral latency, λ as central processing efficiency, κ as attentional consistency—are theoretically motivated by the stage-based account (Rouder et al.</w:t>
      </w:r>
      <w:r>
        <w:t>, 2005) and supported by the SRT–MT dissociation reported here, but they were not directly tested through experimental manipulation within this study. Temporal preparation, sustained attention, and motor demands were not independently varied. Using age dif</w:t>
      </w:r>
      <w:r>
        <w:t xml:space="preserve">ferences to infer the functional meaning of parameters, and then using those meanings to explain age differences, risks circularity. We have mitigated this risk by grounding the parameter interpretations in independent evidence: the experimental selective </w:t>
      </w:r>
      <w:r>
        <w:t>influence results of Rouder et al. (2005), the SRT–MT crossing pattern (which does not depend on the age comparison), and consistency with the broader literature on peripheral sensorimotor slowing in aging (Bartzokis et al., 2010; Forrence et al., 2023). N</w:t>
      </w:r>
      <w:r>
        <w:t xml:space="preserve">evertheless, a definitive test of selective influence would require manipulating foreperiod variability (to target κ), stimulus intensity (to target </w:t>
      </w:r>
      <w:r>
        <w:rPr>
          <w:i/>
          <w:iCs/>
        </w:rPr>
        <w:t>t</w:t>
      </w:r>
      <w:r>
        <w:t>₀</w:t>
      </w:r>
      <w:r>
        <w:t>), or cognitive load (to target λ) within a factorial developmental design and demonstrating that each ma</w:t>
      </w:r>
      <w:r>
        <w:t>nipulation affects its targeted parameter without altering the others. This is a concrete priority for subsequent studies in this research program.</w:t>
      </w:r>
    </w:p>
    <w:p w14:paraId="286A52E2" w14:textId="77777777" w:rsidR="0031634C" w:rsidRDefault="00BD6BAD">
      <w:pPr>
        <w:pStyle w:val="3"/>
      </w:pPr>
      <w:bookmarkStart w:id="27" w:name="X248dc50b529bbcbd77cf5b989a0d79af485681a"/>
      <w:bookmarkEnd w:id="26"/>
      <w:r>
        <w:t>Broader Implications and Future Directions</w:t>
      </w:r>
    </w:p>
    <w:p w14:paraId="11FA5E5A" w14:textId="77777777" w:rsidR="0031634C" w:rsidRDefault="00BD6BAD">
      <w:pPr>
        <w:pStyle w:val="FirstParagraph"/>
      </w:pPr>
      <w:r>
        <w:t>The present findings have implications for clinical assessment, c</w:t>
      </w:r>
      <w:r>
        <w:t>omputational modeling, and lifespan research design. First, the Weibull parameter profile offers a richer descriptive vocabulary than mean RT for characterizing atypical development. Under the stage-based interpretation, a child whose slow SRT is associate</w:t>
      </w:r>
      <w:r>
        <w:t xml:space="preserve">d with elevated </w:t>
      </w:r>
      <w:r>
        <w:rPr>
          <w:i/>
          <w:iCs/>
        </w:rPr>
        <w:t>t</w:t>
      </w:r>
      <w:r>
        <w:t>₀</w:t>
      </w:r>
      <w:r>
        <w:t xml:space="preserve"> (suggesting peripheral limitation) may warrant different clinical consideration than one whose slow SRT is associated with reduced κ (suggesting attentional inconsistency). The latter profile—specifically, inflated right-tail responses w</w:t>
      </w:r>
      <w:r>
        <w:t>ith preserved fast responses—resembles the pattern expected in ADHD, where attentional lapses are a defining feature (Kofler et al., 2013; Tamm et al., 2012). If Weibull parameters prove sensitive to ADHD-related attentional fluctuation, they could serve a</w:t>
      </w:r>
      <w:r>
        <w:t xml:space="preserve">s distributional markers complementing traditional mean-RT screening. Similarly, preclinical cognitive decline in older adults may manifest first as changes in specific Weibull parameters before mean RT elevates to detectable levels, though this remains a </w:t>
      </w:r>
      <w:r>
        <w:t>hypothesis requiring longitudinal validation.</w:t>
      </w:r>
    </w:p>
    <w:p w14:paraId="4D0269A7" w14:textId="77777777" w:rsidR="0031634C" w:rsidRDefault="00BD6BAD">
      <w:pPr>
        <w:pStyle w:val="a0"/>
      </w:pPr>
      <w:r>
        <w:t>Second, the present findings raise the question of whether the Weibull shift parameter can be formally identified with the DDM’s non-decision time (</w:t>
      </w:r>
      <w:r>
        <w:rPr>
          <w:i/>
          <w:iCs/>
        </w:rPr>
        <w:t>T</w:t>
      </w:r>
      <w:r>
        <w:rPr>
          <w:vertAlign w:val="subscript"/>
        </w:rPr>
        <w:t>er</w:t>
      </w:r>
      <w:r>
        <w:t>). Both parameters aim to capture the irreducible latency f</w:t>
      </w:r>
      <w:r>
        <w:t xml:space="preserve">loor, and both are elevated in older adults. If this identification holds, the Weibull provides a decomposition of what DDM treats as a nuisance parameter: the DDM’s </w:t>
      </w:r>
      <w:r>
        <w:rPr>
          <w:i/>
          <w:iCs/>
        </w:rPr>
        <w:t>T</w:t>
      </w:r>
      <w:r>
        <w:rPr>
          <w:vertAlign w:val="subscript"/>
        </w:rPr>
        <w:t>er</w:t>
      </w:r>
      <w:r>
        <w:t xml:space="preserve"> </w:t>
      </w:r>
      <w:r>
        <w:t xml:space="preserve">lumps together sensory encoding, motor preparation, and motor execution, while the Weibull’s </w:t>
      </w:r>
      <w:r>
        <w:rPr>
          <w:i/>
          <w:iCs/>
        </w:rPr>
        <w:t>t</w:t>
      </w:r>
      <w:r>
        <w:t>₀</w:t>
      </w:r>
      <w:r>
        <w:t xml:space="preserve"> can be separately estimated for SRT and MT, and its λ and κ capture aspects of the processing that occurs above this floor. Rouder et al. (2005) proposed using </w:t>
      </w:r>
      <w:r>
        <w:t>the Weibull as an intermediary for fitting the DDM, and the present developmental data provide a natural test bed for this two-stage approach.</w:t>
      </w:r>
    </w:p>
    <w:p w14:paraId="709C0607" w14:textId="77777777" w:rsidR="0031634C" w:rsidRDefault="00BD6BAD">
      <w:pPr>
        <w:pStyle w:val="a0"/>
      </w:pPr>
      <w:r>
        <w:t xml:space="preserve">Third, the present design lacks middle-aged adults (30–65), leaving the transition between the developmental and </w:t>
      </w:r>
      <w:r>
        <w:t xml:space="preserve">aging parametric profiles uncharacterized. Does the shift from a λ-dominant profile (childhood) to a </w:t>
      </w:r>
      <w:r>
        <w:rPr>
          <w:i/>
          <w:iCs/>
        </w:rPr>
        <w:t>t</w:t>
      </w:r>
      <w:r>
        <w:t>₀</w:t>
      </w:r>
      <w:r>
        <w:t xml:space="preserve">-dominant profile (older adulthood)—suggesting a transition from centrally-driven to </w:t>
      </w:r>
      <w:r>
        <w:lastRenderedPageBreak/>
        <w:t>peripherally-driven slowing—occur gradually across the middle decade</w:t>
      </w:r>
      <w:r>
        <w:t>s, or is there a relatively abrupt transition coinciding with the onset of white matter degradation in the fifth or sixth decade (Bartzokis et al., 2010)? Large-sample, web-based data collection that provides continuous age coverage across the full adult l</w:t>
      </w:r>
      <w:r>
        <w:t>ifespan would address this question and would test whether the parametric transition mirrors the nonlinear trajectory of mean SRT established in prior work (Der &amp; Deary, 2006; Fozard et al., 1994).</w:t>
      </w:r>
    </w:p>
    <w:p w14:paraId="2CA03CFF" w14:textId="77777777" w:rsidR="0031634C" w:rsidRDefault="00BD6BAD">
      <w:pPr>
        <w:pStyle w:val="a0"/>
      </w:pPr>
      <w:r>
        <w:t xml:space="preserve">Finally, the ultimate test of the Weibull decomposition’s </w:t>
      </w:r>
      <w:r>
        <w:t>utility is whether within-person change in specific parameters over time predicts cognitive outcomes better than mean RT change alone. If longitudinal increases in λ precede broader cognitive decline, or if within-person decreases in κ signal emerging atte</w:t>
      </w:r>
      <w:r>
        <w:t>ntional dysregulation, the Weibull decomposition would provide mechanistic specificity that aggregate speed measures cannot. Such longitudinal evidence would elevate the Weibull parameters from descriptive summaries of cross-sectional differences to prospe</w:t>
      </w:r>
      <w:r>
        <w:t>ctive markers of cognitive trajectories.</w:t>
      </w:r>
    </w:p>
    <w:p w14:paraId="1A50BF42" w14:textId="77777777" w:rsidR="0031634C" w:rsidRDefault="00BD6BAD">
      <w:pPr>
        <w:pStyle w:val="2"/>
      </w:pPr>
      <w:bookmarkStart w:id="28" w:name="references"/>
      <w:bookmarkEnd w:id="20"/>
      <w:bookmarkEnd w:id="27"/>
      <w:r>
        <w:t>References</w:t>
      </w:r>
    </w:p>
    <w:p w14:paraId="26C5F86E" w14:textId="77777777" w:rsidR="0031634C" w:rsidRDefault="00BD6BAD">
      <w:pPr>
        <w:pStyle w:val="FirstParagraph"/>
      </w:pPr>
      <w:r>
        <w:t>Bartzokis, G., Lu, P. H., Tingus, K., Mendez, M. F., Richard, A., Peters, D. G., Oluwadara, B., Barrall, K. A., Finn, J. P., Villablanca, P., Thompson, P. M., &amp; Mintz, J. (2010). Lifespan trajectory of my</w:t>
      </w:r>
      <w:r>
        <w:t xml:space="preserve">elin integrity and maximum motor speed. </w:t>
      </w:r>
      <w:r>
        <w:rPr>
          <w:i/>
          <w:iCs/>
        </w:rPr>
        <w:t>Neurobiology of Aging</w:t>
      </w:r>
      <w:r>
        <w:t xml:space="preserve">, </w:t>
      </w:r>
      <w:r>
        <w:rPr>
          <w:i/>
          <w:iCs/>
        </w:rPr>
        <w:t>31</w:t>
      </w:r>
      <w:r>
        <w:t>(9), 1554–1562. https://doi.org/10.1016/j.neurobiolaging.2008.08.015</w:t>
      </w:r>
    </w:p>
    <w:p w14:paraId="13D8694F" w14:textId="77777777" w:rsidR="0031634C" w:rsidRDefault="00BD6BAD">
      <w:pPr>
        <w:pStyle w:val="a0"/>
      </w:pPr>
      <w:r>
        <w:t>Carlin, B. P., Polson, N. G., &amp; Stoffer, D. S. (1992). A Monte Carlo Approach to Nonnormal and Nonlinear State-Space Model</w:t>
      </w:r>
      <w:r>
        <w:t xml:space="preserve">ing. </w:t>
      </w:r>
      <w:r>
        <w:rPr>
          <w:i/>
          <w:iCs/>
        </w:rPr>
        <w:t>Journal of the American Statistical Association</w:t>
      </w:r>
      <w:r>
        <w:t xml:space="preserve">, </w:t>
      </w:r>
      <w:r>
        <w:rPr>
          <w:i/>
          <w:iCs/>
        </w:rPr>
        <w:t>87</w:t>
      </w:r>
      <w:r>
        <w:t>(418), 493–500. https://doi.org/10.1080/01621459.1992.10475231</w:t>
      </w:r>
    </w:p>
    <w:p w14:paraId="704CAAE7" w14:textId="77777777" w:rsidR="0031634C" w:rsidRDefault="00BD6BAD">
      <w:pPr>
        <w:pStyle w:val="a0"/>
      </w:pPr>
      <w:r>
        <w:t xml:space="preserve">Carter, C. K., &amp; Kohn, R. (1994). On Gibbs sampling for state space models. </w:t>
      </w:r>
      <w:r>
        <w:rPr>
          <w:i/>
          <w:iCs/>
        </w:rPr>
        <w:t>Biometrika</w:t>
      </w:r>
      <w:r>
        <w:t xml:space="preserve">, </w:t>
      </w:r>
      <w:r>
        <w:rPr>
          <w:i/>
          <w:iCs/>
        </w:rPr>
        <w:t>81</w:t>
      </w:r>
      <w:r>
        <w:t>(3), 541–553. https://doi.org/10.1093/biomet/81</w:t>
      </w:r>
      <w:r>
        <w:t>.3.541</w:t>
      </w:r>
    </w:p>
    <w:p w14:paraId="48454A64" w14:textId="77777777" w:rsidR="0031634C" w:rsidRDefault="00BD6BAD">
      <w:pPr>
        <w:pStyle w:val="a0"/>
      </w:pPr>
      <w:r>
        <w:t xml:space="preserve">Cerella, J. (1985). Information processing rates in the elderly. </w:t>
      </w:r>
      <w:r>
        <w:rPr>
          <w:i/>
          <w:iCs/>
        </w:rPr>
        <w:t>Psychological Bulletin</w:t>
      </w:r>
      <w:r>
        <w:t xml:space="preserve">, </w:t>
      </w:r>
      <w:r>
        <w:rPr>
          <w:i/>
          <w:iCs/>
        </w:rPr>
        <w:t>98</w:t>
      </w:r>
      <w:r>
        <w:t>(1), 67–83. https://doi.org/10.1037/0033-2909.98.1.67</w:t>
      </w:r>
    </w:p>
    <w:p w14:paraId="2543BC84" w14:textId="77777777" w:rsidR="0031634C" w:rsidRDefault="00BD6BAD">
      <w:pPr>
        <w:pStyle w:val="a0"/>
      </w:pPr>
      <w:r>
        <w:t xml:space="preserve">Cerella, J., &amp; Hale, S. (1994). The rise and fall in information-processing rates over the life span. </w:t>
      </w:r>
      <w:r>
        <w:rPr>
          <w:i/>
          <w:iCs/>
        </w:rPr>
        <w:t>Ac</w:t>
      </w:r>
      <w:r>
        <w:rPr>
          <w:i/>
          <w:iCs/>
        </w:rPr>
        <w:t>ta Psychologica</w:t>
      </w:r>
      <w:r>
        <w:t xml:space="preserve">, </w:t>
      </w:r>
      <w:r>
        <w:rPr>
          <w:i/>
          <w:iCs/>
        </w:rPr>
        <w:t>86</w:t>
      </w:r>
      <w:r>
        <w:t>(2–3), 109–197. https://doi.org/10.1016/0001-6918(94)90002-7</w:t>
      </w:r>
    </w:p>
    <w:p w14:paraId="32A3D3CB" w14:textId="77777777" w:rsidR="0031634C" w:rsidRDefault="00BD6BAD">
      <w:pPr>
        <w:pStyle w:val="a0"/>
      </w:pPr>
      <w:r>
        <w:t>Chevalier, N., Kurth, S., Doucette, M. R., Wiseheart, M., Deoni, S. C. L., Dean, D. C., O’Muircheartaigh, J., Blackwell, K. A., Munakata, Y., &amp; LeBourgeois, M. K. (2015). Myeli</w:t>
      </w:r>
      <w:r>
        <w:t xml:space="preserve">nation is associated with processing speed in early childhood: Preliminary insights. </w:t>
      </w:r>
      <w:r>
        <w:rPr>
          <w:i/>
          <w:iCs/>
        </w:rPr>
        <w:t>PLoS ONE</w:t>
      </w:r>
      <w:r>
        <w:t xml:space="preserve">, </w:t>
      </w:r>
      <w:r>
        <w:rPr>
          <w:i/>
          <w:iCs/>
        </w:rPr>
        <w:t>10</w:t>
      </w:r>
      <w:r>
        <w:t>(10), e0139897. https://doi.org/10.1371/journal.pone.0139897</w:t>
      </w:r>
    </w:p>
    <w:p w14:paraId="5200E34B" w14:textId="77777777" w:rsidR="0031634C" w:rsidRDefault="00BD6BAD">
      <w:pPr>
        <w:pStyle w:val="a0"/>
      </w:pPr>
      <w:r>
        <w:t>Der, G., &amp; Deary, I. J. (2006). Age and sex differences in reaction time in adulthood: Results fro</w:t>
      </w:r>
      <w:r>
        <w:t xml:space="preserve">m the United Kingdom Health and Lifestyle Survey. </w:t>
      </w:r>
      <w:r>
        <w:rPr>
          <w:i/>
          <w:iCs/>
        </w:rPr>
        <w:t>Psychology and Aging</w:t>
      </w:r>
      <w:r>
        <w:t xml:space="preserve">, </w:t>
      </w:r>
      <w:r>
        <w:rPr>
          <w:i/>
          <w:iCs/>
        </w:rPr>
        <w:t>21</w:t>
      </w:r>
      <w:r>
        <w:t>(1), 62–73. https://doi.org/10.1037/0882-7974.21.1.62</w:t>
      </w:r>
    </w:p>
    <w:p w14:paraId="071C9834" w14:textId="77777777" w:rsidR="0031634C" w:rsidRDefault="00BD6BAD">
      <w:pPr>
        <w:pStyle w:val="a0"/>
      </w:pPr>
      <w:r>
        <w:t xml:space="preserve">Donders, F. C. (1969). On the speed of mental processes. </w:t>
      </w:r>
      <w:r>
        <w:rPr>
          <w:i/>
          <w:iCs/>
        </w:rPr>
        <w:t>Acta Psychologica</w:t>
      </w:r>
      <w:r>
        <w:t xml:space="preserve">, </w:t>
      </w:r>
      <w:r>
        <w:rPr>
          <w:i/>
          <w:iCs/>
        </w:rPr>
        <w:t>30</w:t>
      </w:r>
      <w:r>
        <w:t>, 412–431.</w:t>
      </w:r>
    </w:p>
    <w:p w14:paraId="6F07C234" w14:textId="77777777" w:rsidR="0031634C" w:rsidRDefault="00BD6BAD">
      <w:pPr>
        <w:pStyle w:val="a0"/>
      </w:pPr>
      <w:r>
        <w:t xml:space="preserve">Dykiert, D., Der, G., Starr, J. M., &amp; Deary, I. J. (2012). Age differences in intra-individual variability in simple and choice reaction time: Systematic review and meta-analysis. </w:t>
      </w:r>
      <w:r>
        <w:rPr>
          <w:i/>
          <w:iCs/>
        </w:rPr>
        <w:t>PLoS ONE</w:t>
      </w:r>
      <w:r>
        <w:t xml:space="preserve">, </w:t>
      </w:r>
      <w:r>
        <w:rPr>
          <w:i/>
          <w:iCs/>
        </w:rPr>
        <w:t>7</w:t>
      </w:r>
      <w:r>
        <w:t>(10), e45759. https://doi.org/10.1371/journal.pone.0045759</w:t>
      </w:r>
    </w:p>
    <w:p w14:paraId="17B23164" w14:textId="77777777" w:rsidR="0031634C" w:rsidRDefault="00BD6BAD">
      <w:pPr>
        <w:pStyle w:val="a0"/>
      </w:pPr>
      <w:r>
        <w:t>Fozard</w:t>
      </w:r>
      <w:r>
        <w:t xml:space="preserve">, J. L., Vercruyssen, M., Reynolds, S. L., Hancock, P. A., &amp; Quilter, R. E. (1994). Age differences and changes in reaction time: The Baltimore Longitudinal Study of Aging. </w:t>
      </w:r>
      <w:r>
        <w:rPr>
          <w:i/>
          <w:iCs/>
        </w:rPr>
        <w:t>Journal of Gerontology: Psychological Sciences</w:t>
      </w:r>
      <w:r>
        <w:t xml:space="preserve">, </w:t>
      </w:r>
      <w:r>
        <w:rPr>
          <w:i/>
          <w:iCs/>
        </w:rPr>
        <w:t>49</w:t>
      </w:r>
      <w:r>
        <w:t>(4), P179–P189. https://doi.org/1</w:t>
      </w:r>
      <w:r>
        <w:t>0.1093/geronj/49.4.P179</w:t>
      </w:r>
    </w:p>
    <w:p w14:paraId="2A1D7D68" w14:textId="77777777" w:rsidR="0031634C" w:rsidRDefault="00BD6BAD">
      <w:pPr>
        <w:pStyle w:val="a0"/>
      </w:pPr>
      <w:r>
        <w:t xml:space="preserve">Gelman, A., Carlin, J. B., Stern, H. S., &amp; Rubin, D. B. (1995). </w:t>
      </w:r>
      <w:r>
        <w:rPr>
          <w:i/>
          <w:iCs/>
        </w:rPr>
        <w:t>Bayesian data analysis</w:t>
      </w:r>
      <w:r>
        <w:t>. Chapman and Hall/CRC.</w:t>
      </w:r>
    </w:p>
    <w:p w14:paraId="4860BB79" w14:textId="77777777" w:rsidR="0031634C" w:rsidRDefault="00BD6BAD">
      <w:pPr>
        <w:pStyle w:val="a0"/>
      </w:pPr>
      <w:r>
        <w:lastRenderedPageBreak/>
        <w:t xml:space="preserve">Gelman, A., &amp; Rubin, D. B. (1992). Inference from iterative simulation using multiple sequences. </w:t>
      </w:r>
      <w:r>
        <w:rPr>
          <w:i/>
          <w:iCs/>
        </w:rPr>
        <w:t>Statistical Science</w:t>
      </w:r>
      <w:r>
        <w:t xml:space="preserve">, </w:t>
      </w:r>
      <w:r>
        <w:rPr>
          <w:i/>
          <w:iCs/>
        </w:rPr>
        <w:t>7</w:t>
      </w:r>
      <w:r>
        <w:t>(4)</w:t>
      </w:r>
      <w:r>
        <w:t>, 457–472.</w:t>
      </w:r>
    </w:p>
    <w:p w14:paraId="4204EFBE" w14:textId="77777777" w:rsidR="0031634C" w:rsidRDefault="00BD6BAD">
      <w:pPr>
        <w:pStyle w:val="a0"/>
      </w:pPr>
      <w:r>
        <w:t xml:space="preserve">Johnson, R. C., McClearn, G. E., Yuen, S., Nagoshi, C. T., Ahern, F. M., &amp; Cole, R. E. (1985). Galton’s data a century later. </w:t>
      </w:r>
      <w:r>
        <w:rPr>
          <w:i/>
          <w:iCs/>
        </w:rPr>
        <w:t>American Psychologist</w:t>
      </w:r>
      <w:r>
        <w:t xml:space="preserve">, </w:t>
      </w:r>
      <w:r>
        <w:rPr>
          <w:i/>
          <w:iCs/>
        </w:rPr>
        <w:t>40</w:t>
      </w:r>
      <w:r>
        <w:t>(8), 875.</w:t>
      </w:r>
    </w:p>
    <w:p w14:paraId="526E1D3F" w14:textId="77777777" w:rsidR="0031634C" w:rsidRDefault="00BD6BAD">
      <w:pPr>
        <w:pStyle w:val="a0"/>
      </w:pPr>
      <w:r>
        <w:t>Kail, R. (1991). Developmental change in speed of processing during childhood and ad</w:t>
      </w:r>
      <w:r>
        <w:t xml:space="preserve">olescence. </w:t>
      </w:r>
      <w:r>
        <w:rPr>
          <w:i/>
          <w:iCs/>
        </w:rPr>
        <w:t>Psychological Bulletin</w:t>
      </w:r>
      <w:r>
        <w:t xml:space="preserve">, </w:t>
      </w:r>
      <w:r>
        <w:rPr>
          <w:i/>
          <w:iCs/>
        </w:rPr>
        <w:t>109</w:t>
      </w:r>
      <w:r>
        <w:t>(3), 490.</w:t>
      </w:r>
    </w:p>
    <w:p w14:paraId="6564CFD4" w14:textId="77777777" w:rsidR="0031634C" w:rsidRDefault="00BD6BAD">
      <w:pPr>
        <w:pStyle w:val="a0"/>
      </w:pPr>
      <w:r>
        <w:t xml:space="preserve">Kail, R., &amp; Salthouse, T. A. (1994). Processing speed as a mental capacity. </w:t>
      </w:r>
      <w:r>
        <w:rPr>
          <w:i/>
          <w:iCs/>
        </w:rPr>
        <w:t>Acta Psychologica</w:t>
      </w:r>
      <w:r>
        <w:t xml:space="preserve">, </w:t>
      </w:r>
      <w:r>
        <w:rPr>
          <w:i/>
          <w:iCs/>
        </w:rPr>
        <w:t>86</w:t>
      </w:r>
      <w:r>
        <w:t>(2–3), 199–225. https://doi.org/10.1016/0001-6918(94)90003-5</w:t>
      </w:r>
    </w:p>
    <w:p w14:paraId="6785DEF7" w14:textId="77777777" w:rsidR="0031634C" w:rsidRDefault="00BD6BAD">
      <w:pPr>
        <w:pStyle w:val="a0"/>
      </w:pPr>
      <w:r>
        <w:t xml:space="preserve">Kruschke, J. K. (2014). </w:t>
      </w:r>
      <w:r>
        <w:rPr>
          <w:i/>
          <w:iCs/>
        </w:rPr>
        <w:t>Doing Bayesian data analysis: A tutorial with R, JAGS, and Stan</w:t>
      </w:r>
      <w:r>
        <w:t>.</w:t>
      </w:r>
    </w:p>
    <w:p w14:paraId="15C7999A" w14:textId="77777777" w:rsidR="0031634C" w:rsidRDefault="00BD6BAD">
      <w:pPr>
        <w:pStyle w:val="a0"/>
      </w:pPr>
      <w:r>
        <w:t xml:space="preserve">Kruschke, J. K. (2018). Rejecting or accepting parameter values in Bayesian estimation. </w:t>
      </w:r>
      <w:r>
        <w:rPr>
          <w:i/>
          <w:iCs/>
        </w:rPr>
        <w:t>Advances in Methods and Practices in Psychological Science</w:t>
      </w:r>
      <w:r>
        <w:t xml:space="preserve">, </w:t>
      </w:r>
      <w:r>
        <w:rPr>
          <w:i/>
          <w:iCs/>
        </w:rPr>
        <w:t>1</w:t>
      </w:r>
      <w:r>
        <w:t>(2), 270–280.</w:t>
      </w:r>
    </w:p>
    <w:p w14:paraId="255C63B1" w14:textId="77777777" w:rsidR="0031634C" w:rsidRDefault="00BD6BAD">
      <w:pPr>
        <w:pStyle w:val="a0"/>
      </w:pPr>
      <w:r>
        <w:t xml:space="preserve">Logan, G. D. (1992). Shapes </w:t>
      </w:r>
      <w:r>
        <w:t xml:space="preserve">of reaction-time distributions and shapes of learning curves: A test of the instance theory of automaticity. </w:t>
      </w:r>
      <w:r>
        <w:rPr>
          <w:i/>
          <w:iCs/>
        </w:rPr>
        <w:t>Journal of Experimental Psychology: Learning, Memory, and Cognition</w:t>
      </w:r>
      <w:r>
        <w:t xml:space="preserve">, </w:t>
      </w:r>
      <w:r>
        <w:rPr>
          <w:i/>
          <w:iCs/>
        </w:rPr>
        <w:t>18</w:t>
      </w:r>
      <w:r>
        <w:t>(5), 883.</w:t>
      </w:r>
    </w:p>
    <w:p w14:paraId="6469405C" w14:textId="77777777" w:rsidR="0031634C" w:rsidRDefault="00BD6BAD">
      <w:pPr>
        <w:pStyle w:val="a0"/>
      </w:pPr>
      <w:r>
        <w:t xml:space="preserve">Luce, R. D. (1991). </w:t>
      </w:r>
      <w:r>
        <w:rPr>
          <w:i/>
          <w:iCs/>
        </w:rPr>
        <w:t>Response times: Their role in inferring elemen</w:t>
      </w:r>
      <w:r>
        <w:rPr>
          <w:i/>
          <w:iCs/>
        </w:rPr>
        <w:t>tary mental organization</w:t>
      </w:r>
      <w:r>
        <w:t>. Oxford University Press. https://doi.org/10.1093/acprof:oso/9780195070019.001.0001</w:t>
      </w:r>
    </w:p>
    <w:p w14:paraId="34D6F911" w14:textId="77777777" w:rsidR="0031634C" w:rsidRDefault="00BD6BAD">
      <w:pPr>
        <w:pStyle w:val="a0"/>
      </w:pPr>
      <w:r>
        <w:t xml:space="preserve">Rouder, J. N., Lu, J., Speckman, P., Sun, D., &amp; Jiang, Y. (2005). A hierarchical model for estimating response time distributions. </w:t>
      </w:r>
      <w:r>
        <w:rPr>
          <w:i/>
          <w:iCs/>
        </w:rPr>
        <w:t>Psychonomic Bull</w:t>
      </w:r>
      <w:r>
        <w:rPr>
          <w:i/>
          <w:iCs/>
        </w:rPr>
        <w:t>etin &amp; Review</w:t>
      </w:r>
      <w:r>
        <w:t xml:space="preserve">, </w:t>
      </w:r>
      <w:r>
        <w:rPr>
          <w:i/>
          <w:iCs/>
        </w:rPr>
        <w:t>12</w:t>
      </w:r>
      <w:r>
        <w:t>(2), 195–223. https://doi.org/10.3758/BF03257252</w:t>
      </w:r>
    </w:p>
    <w:p w14:paraId="361DCD61" w14:textId="77777777" w:rsidR="0031634C" w:rsidRDefault="00BD6BAD">
      <w:pPr>
        <w:pStyle w:val="a0"/>
      </w:pPr>
      <w:r>
        <w:t xml:space="preserve">Rouder, J. N., Sun, D., Speckman, P. L., Lu, J., &amp; Zhou, D. (2003). A Hierarchical Bayesian Statistical Framework for Response Time Distributions. </w:t>
      </w:r>
      <w:r>
        <w:rPr>
          <w:i/>
          <w:iCs/>
        </w:rPr>
        <w:t>Psychometrika</w:t>
      </w:r>
      <w:r>
        <w:t xml:space="preserve">, </w:t>
      </w:r>
      <w:r>
        <w:rPr>
          <w:i/>
          <w:iCs/>
        </w:rPr>
        <w:t>68</w:t>
      </w:r>
      <w:r>
        <w:t>(4), 589–606. https://doi.</w:t>
      </w:r>
      <w:r>
        <w:t>org/10.1007/BF02295614</w:t>
      </w:r>
    </w:p>
    <w:p w14:paraId="305CD1AA" w14:textId="77777777" w:rsidR="0031634C" w:rsidRDefault="00BD6BAD">
      <w:pPr>
        <w:pStyle w:val="a0"/>
      </w:pPr>
      <w:r>
        <w:t xml:space="preserve">Salthouse, T. A. (1996). The processing-speed theory of adult age differences in cognition. </w:t>
      </w:r>
      <w:r>
        <w:rPr>
          <w:i/>
          <w:iCs/>
        </w:rPr>
        <w:t>Psychological Review</w:t>
      </w:r>
      <w:r>
        <w:t xml:space="preserve">, </w:t>
      </w:r>
      <w:r>
        <w:rPr>
          <w:i/>
          <w:iCs/>
        </w:rPr>
        <w:t>103</w:t>
      </w:r>
      <w:r>
        <w:t>(3), 403–428. https://doi.org/10.1037/0033-295X.103.3.403</w:t>
      </w:r>
    </w:p>
    <w:p w14:paraId="73E42EE9" w14:textId="77777777" w:rsidR="0031634C" w:rsidRDefault="00BD6BAD">
      <w:pPr>
        <w:pStyle w:val="a0"/>
      </w:pPr>
      <w:r>
        <w:t xml:space="preserve">Salthouse, T. A. (2000). Aging and measures of processing </w:t>
      </w:r>
      <w:r>
        <w:t xml:space="preserve">speed. </w:t>
      </w:r>
      <w:r>
        <w:rPr>
          <w:i/>
          <w:iCs/>
        </w:rPr>
        <w:t>Biological Psychology</w:t>
      </w:r>
      <w:r>
        <w:t xml:space="preserve">, </w:t>
      </w:r>
      <w:r>
        <w:rPr>
          <w:i/>
          <w:iCs/>
        </w:rPr>
        <w:t>54</w:t>
      </w:r>
      <w:r>
        <w:t>(1–3), 35–54. https://doi.org/10.1016/S0301-0511(00)00052-1</w:t>
      </w:r>
    </w:p>
    <w:p w14:paraId="13E89DC7" w14:textId="77777777" w:rsidR="0031634C" w:rsidRDefault="00BD6BAD">
      <w:pPr>
        <w:pStyle w:val="a0"/>
      </w:pPr>
      <w:r>
        <w:t xml:space="preserve">Sanders, A. F. (1998). </w:t>
      </w:r>
      <w:r>
        <w:rPr>
          <w:i/>
          <w:iCs/>
        </w:rPr>
        <w:t>Elements of Human Performance: Reaction Processes and Attention in Human Skill</w:t>
      </w:r>
      <w:r>
        <w:t>. Lawrence Erlbaum Associates.</w:t>
      </w:r>
    </w:p>
    <w:p w14:paraId="5DF99BF4" w14:textId="77777777" w:rsidR="0031634C" w:rsidRDefault="00BD6BAD">
      <w:pPr>
        <w:pStyle w:val="a0"/>
      </w:pPr>
      <w:r>
        <w:t>Sternberg, S. (1969). The discov</w:t>
      </w:r>
      <w:r>
        <w:t xml:space="preserve">ery of processing stages: Extensions of Donders’ method. </w:t>
      </w:r>
      <w:r>
        <w:rPr>
          <w:i/>
          <w:iCs/>
        </w:rPr>
        <w:t>Acta Psychologica</w:t>
      </w:r>
      <w:r>
        <w:t xml:space="preserve">, </w:t>
      </w:r>
      <w:r>
        <w:rPr>
          <w:i/>
          <w:iCs/>
        </w:rPr>
        <w:t>30</w:t>
      </w:r>
      <w:r>
        <w:t>, 276–315.</w:t>
      </w:r>
    </w:p>
    <w:p w14:paraId="4BE0D67A" w14:textId="77777777" w:rsidR="0031634C" w:rsidRDefault="00BD6BAD">
      <w:pPr>
        <w:pStyle w:val="a0"/>
      </w:pPr>
      <w:r>
        <w:t>Talboom, J. S., Huentelman, M. J., Lewis, C. R., Chen, Z., &amp; others. (2021). Two separate, large cohorts reveal potential modifiers of age-associated variation in visu</w:t>
      </w:r>
      <w:r>
        <w:t xml:space="preserve">al reaction time performance. </w:t>
      </w:r>
      <w:r>
        <w:rPr>
          <w:i/>
          <w:iCs/>
        </w:rPr>
        <w:t>Npj Aging</w:t>
      </w:r>
      <w:r>
        <w:t xml:space="preserve">, </w:t>
      </w:r>
      <w:r>
        <w:rPr>
          <w:i/>
          <w:iCs/>
        </w:rPr>
        <w:t>7</w:t>
      </w:r>
      <w:r>
        <w:t>, 19. https://doi.org/10.1038/s41514-021-00067-6</w:t>
      </w:r>
    </w:p>
    <w:p w14:paraId="0B90E34F" w14:textId="77777777" w:rsidR="0031634C" w:rsidRDefault="00BD6BAD">
      <w:pPr>
        <w:pStyle w:val="a0"/>
      </w:pPr>
      <w:r>
        <w:t xml:space="preserve">Williams, B. R., Hultsch, D. F., Strauss, E. H., Hunter, M. A., &amp; Tannock, R. (2005). Inconsistency in reaction time across the life span. </w:t>
      </w:r>
      <w:r>
        <w:rPr>
          <w:i/>
          <w:iCs/>
        </w:rPr>
        <w:t>Neuropsychology</w:t>
      </w:r>
      <w:r>
        <w:t xml:space="preserve">, </w:t>
      </w:r>
      <w:r>
        <w:rPr>
          <w:i/>
          <w:iCs/>
        </w:rPr>
        <w:t>19</w:t>
      </w:r>
      <w:r>
        <w:t>(1), 88</w:t>
      </w:r>
      <w:r>
        <w:t>–96. https://doi.org/10.1037/0894-4105.19.1.88</w:t>
      </w:r>
    </w:p>
    <w:p w14:paraId="506D1122" w14:textId="77777777" w:rsidR="0031634C" w:rsidRDefault="00BD6BAD">
      <w:pPr>
        <w:pStyle w:val="a0"/>
      </w:pPr>
      <w:r>
        <w:t xml:space="preserve">Woods, D. L., Wyma, J. M., Yund, E. W., Herron, T. J., &amp; Reed, B. (2015). Factors influencing the latency of simple reaction time. </w:t>
      </w:r>
      <w:r>
        <w:rPr>
          <w:i/>
          <w:iCs/>
        </w:rPr>
        <w:t>Frontiers in Human Neuroscience</w:t>
      </w:r>
      <w:r>
        <w:t xml:space="preserve">, </w:t>
      </w:r>
      <w:r>
        <w:rPr>
          <w:i/>
          <w:iCs/>
        </w:rPr>
        <w:t>9</w:t>
      </w:r>
      <w:r>
        <w:t>. https://doi.org/10.3389/fnhum.2015.00131</w:t>
      </w:r>
      <w:bookmarkEnd w:id="0"/>
      <w:bookmarkEnd w:id="28"/>
    </w:p>
    <w:sectPr w:rsidR="0031634C" w:rsidSect="001B011D">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438EE" w14:textId="77777777" w:rsidR="00BD6BAD" w:rsidRDefault="00BD6BAD">
      <w:pPr>
        <w:spacing w:after="0"/>
      </w:pPr>
      <w:r>
        <w:separator/>
      </w:r>
    </w:p>
  </w:endnote>
  <w:endnote w:type="continuationSeparator" w:id="0">
    <w:p w14:paraId="4F2015C2" w14:textId="77777777" w:rsidR="00BD6BAD" w:rsidRDefault="00BD6B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5495A" w14:textId="77777777" w:rsidR="00BD6BAD" w:rsidRDefault="00BD6BAD">
      <w:r>
        <w:separator/>
      </w:r>
    </w:p>
  </w:footnote>
  <w:footnote w:type="continuationSeparator" w:id="0">
    <w:p w14:paraId="42E61E3E" w14:textId="77777777" w:rsidR="00BD6BAD" w:rsidRDefault="00BD6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A5E4C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634C"/>
    <w:rsid w:val="001B011D"/>
    <w:rsid w:val="0031634C"/>
    <w:rsid w:val="0059768F"/>
    <w:rsid w:val="00BD6BAD"/>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FAB4F"/>
  <w15:docId w15:val="{20C92408-D50B-4B16-8D05-D2604385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unhideWhenUsed/>
    <w:rsid w:val="0059768F"/>
    <w:pPr>
      <w:tabs>
        <w:tab w:val="center" w:pos="4153"/>
        <w:tab w:val="right" w:pos="8306"/>
      </w:tabs>
      <w:snapToGrid w:val="0"/>
    </w:pPr>
    <w:rPr>
      <w:sz w:val="20"/>
      <w:szCs w:val="20"/>
    </w:rPr>
  </w:style>
  <w:style w:type="character" w:customStyle="1" w:styleId="af0">
    <w:name w:val="頁首 字元"/>
    <w:basedOn w:val="a1"/>
    <w:link w:val="af"/>
    <w:rsid w:val="0059768F"/>
    <w:rPr>
      <w:sz w:val="20"/>
      <w:szCs w:val="20"/>
    </w:rPr>
  </w:style>
  <w:style w:type="paragraph" w:styleId="af1">
    <w:name w:val="footer"/>
    <w:basedOn w:val="a"/>
    <w:link w:val="af2"/>
    <w:unhideWhenUsed/>
    <w:rsid w:val="0059768F"/>
    <w:pPr>
      <w:tabs>
        <w:tab w:val="center" w:pos="4153"/>
        <w:tab w:val="right" w:pos="8306"/>
      </w:tabs>
      <w:snapToGrid w:val="0"/>
    </w:pPr>
    <w:rPr>
      <w:sz w:val="20"/>
      <w:szCs w:val="20"/>
    </w:rPr>
  </w:style>
  <w:style w:type="character" w:customStyle="1" w:styleId="af2">
    <w:name w:val="頁尾 字元"/>
    <w:basedOn w:val="a1"/>
    <w:link w:val="af1"/>
    <w:rsid w:val="0059768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12814</Words>
  <Characters>73041</Characters>
  <Application>Microsoft Office Word</Application>
  <DocSecurity>0</DocSecurity>
  <Lines>608</Lines>
  <Paragraphs>171</Paragraphs>
  <ScaleCrop>false</ScaleCrop>
  <Company/>
  <LinksUpToDate>false</LinksUpToDate>
  <CharactersWithSpaces>85684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張文乘 (106885001)</cp:lastModifiedBy>
  <cp:revision>2</cp:revision>
  <cp:lastPrinted>2026-03-06T09:01:00Z</cp:lastPrinted>
  <dcterms:created xsi:type="dcterms:W3CDTF">2026-03-06T04:42:00Z</dcterms:created>
  <dcterms:modified xsi:type="dcterms:W3CDTF">2026-03-11T07:11:00Z</dcterms:modified>
</cp:coreProperties>
</file>