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47014">
      <w:pPr>
        <w:pStyle w:val="3"/>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sz w:val="28"/>
          <w:szCs w:val="28"/>
        </w:rPr>
        <w:t>3. Methodology</w:t>
      </w:r>
    </w:p>
    <w:p w14:paraId="3CF93D40">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sz w:val="28"/>
          <w:szCs w:val="28"/>
        </w:rPr>
        <w:t>3.1 Dataset Description</w:t>
      </w:r>
    </w:p>
    <w:p w14:paraId="5F881D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used in this study is mainly taken from the Online Retail II dataset provided by the UCI Machine Learning Repository (Dua &amp; Graff, 2019), with additional data sourced from Kaggle (Mashlyn, 2026). Using both sources helps improve the completeness of the dataset and provides a more reliable basis for analysis.</w:t>
      </w:r>
    </w:p>
    <w:p w14:paraId="007187E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dataset contains 1,067,371 transaction records from a UK-based online retailer specialising in gift products. The data covers transactions between 1 December 2009 and 9 December 2011.</w:t>
      </w:r>
    </w:p>
    <w:p w14:paraId="3D4342B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 are eight main variables included. </w:t>
      </w:r>
      <w:r>
        <w:rPr>
          <w:rStyle w:val="14"/>
          <w:rFonts w:hint="default" w:ascii="Times New Roman" w:hAnsi="Times New Roman" w:cs="Times New Roman"/>
        </w:rPr>
        <w:t>InvoiceNo</w:t>
      </w:r>
      <w:r>
        <w:rPr>
          <w:rFonts w:hint="default" w:ascii="Times New Roman" w:hAnsi="Times New Roman" w:cs="Times New Roman"/>
        </w:rPr>
        <w:t xml:space="preserve"> identifies each transaction, and those starting with “C” indicate cancelled orders. </w:t>
      </w:r>
      <w:r>
        <w:rPr>
          <w:rStyle w:val="14"/>
          <w:rFonts w:hint="default" w:ascii="Times New Roman" w:hAnsi="Times New Roman" w:cs="Times New Roman"/>
        </w:rPr>
        <w:t>StockCode</w:t>
      </w:r>
      <w:r>
        <w:rPr>
          <w:rFonts w:hint="default" w:ascii="Times New Roman" w:hAnsi="Times New Roman" w:cs="Times New Roman"/>
        </w:rPr>
        <w:t xml:space="preserve"> and </w:t>
      </w:r>
      <w:r>
        <w:rPr>
          <w:rStyle w:val="14"/>
          <w:rFonts w:hint="default" w:ascii="Times New Roman" w:hAnsi="Times New Roman" w:cs="Times New Roman"/>
        </w:rPr>
        <w:t>Description</w:t>
      </w:r>
      <w:r>
        <w:rPr>
          <w:rFonts w:hint="default" w:ascii="Times New Roman" w:hAnsi="Times New Roman" w:cs="Times New Roman"/>
        </w:rPr>
        <w:t xml:space="preserve"> provide product details. </w:t>
      </w:r>
      <w:r>
        <w:rPr>
          <w:rStyle w:val="14"/>
          <w:rFonts w:hint="default" w:ascii="Times New Roman" w:hAnsi="Times New Roman" w:cs="Times New Roman"/>
        </w:rPr>
        <w:t>Quantity</w:t>
      </w:r>
      <w:r>
        <w:rPr>
          <w:rFonts w:hint="default" w:ascii="Times New Roman" w:hAnsi="Times New Roman" w:cs="Times New Roman"/>
        </w:rPr>
        <w:t xml:space="preserve"> and </w:t>
      </w:r>
      <w:r>
        <w:rPr>
          <w:rStyle w:val="14"/>
          <w:rFonts w:hint="default" w:ascii="Times New Roman" w:hAnsi="Times New Roman" w:cs="Times New Roman"/>
        </w:rPr>
        <w:t>Price</w:t>
      </w:r>
      <w:r>
        <w:rPr>
          <w:rFonts w:hint="default" w:ascii="Times New Roman" w:hAnsi="Times New Roman" w:cs="Times New Roman"/>
        </w:rPr>
        <w:t xml:space="preserve"> reflect the scale and value of each purchase, while </w:t>
      </w:r>
      <w:r>
        <w:rPr>
          <w:rStyle w:val="14"/>
          <w:rFonts w:hint="default" w:ascii="Times New Roman" w:hAnsi="Times New Roman" w:cs="Times New Roman"/>
        </w:rPr>
        <w:t>InvoiceDate</w:t>
      </w:r>
      <w:r>
        <w:rPr>
          <w:rFonts w:hint="default" w:ascii="Times New Roman" w:hAnsi="Times New Roman" w:cs="Times New Roman"/>
        </w:rPr>
        <w:t xml:space="preserve"> records when the transaction occurred. In addition, </w:t>
      </w:r>
      <w:r>
        <w:rPr>
          <w:rStyle w:val="14"/>
          <w:rFonts w:hint="default" w:ascii="Times New Roman" w:hAnsi="Times New Roman" w:cs="Times New Roman"/>
        </w:rPr>
        <w:t>Customer ID</w:t>
      </w:r>
      <w:r>
        <w:rPr>
          <w:rFonts w:hint="default" w:ascii="Times New Roman" w:hAnsi="Times New Roman" w:cs="Times New Roman"/>
        </w:rPr>
        <w:t xml:space="preserve"> allows the data to be analysed at the customer level, and </w:t>
      </w:r>
      <w:r>
        <w:rPr>
          <w:rStyle w:val="14"/>
          <w:rFonts w:hint="default" w:ascii="Times New Roman" w:hAnsi="Times New Roman" w:cs="Times New Roman"/>
        </w:rPr>
        <w:t>Country</w:t>
      </w:r>
      <w:r>
        <w:rPr>
          <w:rFonts w:hint="default" w:ascii="Times New Roman" w:hAnsi="Times New Roman" w:cs="Times New Roman"/>
        </w:rPr>
        <w:t xml:space="preserve"> indicates where the customer is located.</w:t>
      </w:r>
    </w:p>
    <w:p w14:paraId="6A178CA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Combining these datasets increases the sample size and also helps ensure consistency across different data sources, which supports the reliability of the analysis.</w:t>
      </w:r>
    </w:p>
    <w:p w14:paraId="7A7C97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color w:val="000000"/>
          <w:kern w:val="0"/>
          <w:sz w:val="20"/>
          <w:szCs w:val="20"/>
          <w:lang w:val="en-US" w:eastAsia="zh-CN" w:bidi="ar"/>
        </w:rPr>
      </w:pPr>
    </w:p>
    <w:p w14:paraId="4BF146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color w:val="000000"/>
          <w:kern w:val="0"/>
          <w:sz w:val="20"/>
          <w:szCs w:val="20"/>
          <w:lang w:val="en-US" w:eastAsia="zh-CN" w:bidi="ar"/>
        </w:rPr>
      </w:pPr>
    </w:p>
    <w:p w14:paraId="48D937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3.2 Data Preprocessing</w:t>
      </w:r>
    </w:p>
    <w:p w14:paraId="4C1C1360">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Data preprocessing is an important step in this project, as the quality of the data directly affects the results of the analysis (Han et al., 2011).</w:t>
      </w:r>
      <w:r>
        <w:rPr>
          <w:rFonts w:hint="default" w:ascii="Times New Roman" w:hAnsi="Times New Roman" w:cs="Times New Roman"/>
          <w:b w:val="0"/>
          <w:bCs w:val="0"/>
        </w:rPr>
        <w:t xml:space="preserve"> </w:t>
      </w:r>
      <w:r>
        <w:rPr>
          <w:rStyle w:val="13"/>
          <w:rFonts w:hint="default" w:ascii="Times New Roman" w:hAnsi="Times New Roman" w:cs="Times New Roman"/>
          <w:b w:val="0"/>
          <w:bCs w:val="0"/>
        </w:rPr>
        <w:t>In practice, retail datasets often contain missing values and unusual records, so some cleaning is needed before any meaningful analysis can be carried out.</w:t>
      </w:r>
    </w:p>
    <w:p w14:paraId="55AE295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First, records with missing </w:t>
      </w:r>
      <w:r>
        <w:rPr>
          <w:rStyle w:val="14"/>
          <w:rFonts w:hint="default" w:ascii="Times New Roman" w:hAnsi="Times New Roman" w:cs="Times New Roman"/>
        </w:rPr>
        <w:t>Customer ID</w:t>
      </w:r>
      <w:r>
        <w:rPr>
          <w:rFonts w:hint="default" w:ascii="Times New Roman" w:hAnsi="Times New Roman" w:cs="Times New Roman"/>
        </w:rPr>
        <w:t xml:space="preserve"> values were removed, which accounted for about 12.6% of the dataset. Since the analysis focuses on customer behaviour, these records are not particularly useful and were therefore excluded.</w:t>
      </w:r>
    </w:p>
    <w:p w14:paraId="59CBF9C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invalid transactions were filtered out. This includes cancelled orders and records where </w:t>
      </w:r>
      <w:r>
        <w:rPr>
          <w:rStyle w:val="14"/>
          <w:rFonts w:hint="default" w:ascii="Times New Roman" w:hAnsi="Times New Roman" w:cs="Times New Roman"/>
        </w:rPr>
        <w:t>Quantity</w:t>
      </w:r>
      <w:r>
        <w:rPr>
          <w:rFonts w:hint="default" w:ascii="Times New Roman" w:hAnsi="Times New Roman" w:cs="Times New Roman"/>
        </w:rPr>
        <w:t xml:space="preserve"> or </w:t>
      </w:r>
      <w:r>
        <w:rPr>
          <w:rStyle w:val="14"/>
          <w:rFonts w:hint="default" w:ascii="Times New Roman" w:hAnsi="Times New Roman" w:cs="Times New Roman"/>
        </w:rPr>
        <w:t>Price</w:t>
      </w:r>
      <w:r>
        <w:rPr>
          <w:rFonts w:hint="default" w:ascii="Times New Roman" w:hAnsi="Times New Roman" w:cs="Times New Roman"/>
        </w:rPr>
        <w:t xml:space="preserve"> had negative values. These entries are unlikely to represent real purchases and could affect the results.</w:t>
      </w:r>
    </w:p>
    <w:p w14:paraId="4A1E97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new variable, </w:t>
      </w:r>
      <w:r>
        <w:rPr>
          <w:rStyle w:val="14"/>
          <w:rFonts w:hint="default" w:ascii="Times New Roman" w:hAnsi="Times New Roman" w:cs="Times New Roman"/>
        </w:rPr>
        <w:t>TotalSpend</w:t>
      </w:r>
      <w:r>
        <w:rPr>
          <w:rFonts w:hint="default" w:ascii="Times New Roman" w:hAnsi="Times New Roman" w:cs="Times New Roman"/>
        </w:rPr>
        <w:t xml:space="preserve">, was then created by multiplying </w:t>
      </w:r>
      <w:r>
        <w:rPr>
          <w:rStyle w:val="14"/>
          <w:rFonts w:hint="default" w:ascii="Times New Roman" w:hAnsi="Times New Roman" w:cs="Times New Roman"/>
        </w:rPr>
        <w:t>Quantity</w:t>
      </w:r>
      <w:r>
        <w:rPr>
          <w:rFonts w:hint="default" w:ascii="Times New Roman" w:hAnsi="Times New Roman" w:cs="Times New Roman"/>
        </w:rPr>
        <w:t xml:space="preserve"> and </w:t>
      </w:r>
      <w:r>
        <w:rPr>
          <w:rStyle w:val="14"/>
          <w:rFonts w:hint="default" w:ascii="Times New Roman" w:hAnsi="Times New Roman" w:cs="Times New Roman"/>
        </w:rPr>
        <w:t>Price</w:t>
      </w:r>
      <w:r>
        <w:rPr>
          <w:rFonts w:hint="default" w:ascii="Times New Roman" w:hAnsi="Times New Roman" w:cs="Times New Roman"/>
        </w:rPr>
        <w:t>, which provides a simple way to measure transaction value.</w:t>
      </w:r>
    </w:p>
    <w:p w14:paraId="0C144E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InvoiceDate</w:t>
      </w:r>
      <w:r>
        <w:rPr>
          <w:rFonts w:hint="default" w:ascii="Times New Roman" w:hAnsi="Times New Roman" w:cs="Times New Roman"/>
        </w:rPr>
        <w:t xml:space="preserve"> variable was also converted into a standard datetime format, making it easier to calculate time-related metrics such as recency.</w:t>
      </w:r>
    </w:p>
    <w:p w14:paraId="4BBDE5E5">
      <w:pPr>
        <w:pStyle w:val="9"/>
        <w:keepNext w:val="0"/>
        <w:keepLines w:val="0"/>
        <w:widowControl/>
        <w:suppressLineNumbers w:val="0"/>
        <w:rPr>
          <w:rFonts w:hint="default" w:ascii="Times New Roman" w:hAnsi="Times New Roman" w:cs="Times New Roman"/>
          <w:b w:val="0"/>
          <w:bCs/>
        </w:rPr>
      </w:pPr>
      <w:r>
        <w:rPr>
          <w:rFonts w:hint="default" w:ascii="Times New Roman" w:hAnsi="Times New Roman" w:cs="Times New Roman"/>
        </w:rPr>
        <w:t xml:space="preserve">Finally, extreme values in </w:t>
      </w:r>
      <w:r>
        <w:rPr>
          <w:rStyle w:val="14"/>
          <w:rFonts w:hint="default" w:ascii="Times New Roman" w:hAnsi="Times New Roman" w:cs="Times New Roman"/>
        </w:rPr>
        <w:t>TotalSpend</w:t>
      </w:r>
      <w:r>
        <w:rPr>
          <w:rFonts w:hint="default" w:ascii="Times New Roman" w:hAnsi="Times New Roman" w:cs="Times New Roman"/>
        </w:rPr>
        <w:t xml:space="preserve"> were removed using the 99th percentile threshold. </w:t>
      </w:r>
      <w:r>
        <w:rPr>
          <w:rStyle w:val="13"/>
          <w:rFonts w:hint="default" w:ascii="Times New Roman" w:hAnsi="Times New Roman" w:cs="Times New Roman"/>
          <w:b w:val="0"/>
          <w:bCs/>
        </w:rPr>
        <w:t>This step mainly helps reduce the influence of unusually large transactions, which are sometimes seen in retail data.</w:t>
      </w:r>
    </w:p>
    <w:p w14:paraId="469713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these steps, the cleaned dataset contains 824,364 valid transactions across 4,372 customers.</w:t>
      </w:r>
    </w:p>
    <w:p w14:paraId="68E55F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cs="Times New Roman"/>
          <w:color w:val="000000"/>
          <w:kern w:val="0"/>
          <w:sz w:val="20"/>
          <w:szCs w:val="20"/>
          <w:lang w:val="en-US" w:eastAsia="zh-CN" w:bidi="ar"/>
        </w:rPr>
      </w:pPr>
    </w:p>
    <w:p w14:paraId="7BF58C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3.3 RFM Calculation</w:t>
      </w:r>
    </w:p>
    <w:p w14:paraId="42EB0192">
      <w:pPr>
        <w:pStyle w:val="9"/>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rPr>
        <w:t>RFM analysis is used to measure customer behaviour based on three key indicators: Recency, Frequency and Monetary value.</w:t>
      </w:r>
    </w:p>
    <w:p w14:paraId="0EF8AE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Recency is calculated as the number of days between a customer’s last purchase and the final date in the dataset. A smaller value indicates more recent activity.</w:t>
      </w:r>
    </w:p>
    <w:p w14:paraId="61D5CB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Frequency represents how often a customer makes purchases, measured by the number of unique transactions.</w:t>
      </w:r>
    </w:p>
    <w:p w14:paraId="2A3956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Monetary refers to the total amount spent by each customer during the observed period.</w:t>
      </w:r>
    </w:p>
    <w:p w14:paraId="3F7BA9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values were calculated using groupby operations in Python, resulting in a customer-level dataset that is used for further analysis.</w:t>
      </w:r>
    </w:p>
    <w:bookmarkEnd w:id="0"/>
    <w:p w14:paraId="1263A7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3EF817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3.4 Customer Segmentation with K-Means Clustering</w:t>
      </w:r>
    </w:p>
    <w:p w14:paraId="29626D0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K-Means clustering was applied to group customers based on their RFM values. This method groups similar data points together and is commonly used for customer segmentation (MacQueen, 1967).</w:t>
      </w:r>
    </w:p>
    <w:p w14:paraId="3EE3298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clustering, the RFM variables were standardised to ensure they were on the same scale. Without this step, variables with larger values could dominate the results.</w:t>
      </w:r>
    </w:p>
    <w:p w14:paraId="656AD3F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determine the number of clusters, both the elbow method and silhouette score were used. Based on these methods, the optimal number of clusters was identified as four.</w:t>
      </w:r>
    </w:p>
    <w:p w14:paraId="7E56EC6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model was trained with a fixed random state to ensure consistent results. The clustering quality was evaluated using the silhouette score.</w:t>
      </w:r>
    </w:p>
    <w:p w14:paraId="3629E0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7184BC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3.5 Churn Prediction with Random Forest</w:t>
      </w:r>
    </w:p>
    <w:p w14:paraId="07BA7217">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Random Forest model was used to predict customer churn. In this study, customers who had not made a purchase for more than 180 days were considered churned. </w:t>
      </w:r>
      <w:r>
        <w:rPr>
          <w:rStyle w:val="13"/>
          <w:rFonts w:hint="default" w:ascii="Times New Roman" w:hAnsi="Times New Roman" w:cs="Times New Roman"/>
          <w:b w:val="0"/>
          <w:bCs w:val="0"/>
          <w:sz w:val="24"/>
          <w:szCs w:val="24"/>
        </w:rPr>
        <w:t>This definition is quite common in retail analysis, although the exact threshold can vary depending on the business context.</w:t>
      </w:r>
    </w:p>
    <w:p w14:paraId="01D0B99E">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dataset was split into training and testing sets using a 70:30 ratio. The model was trained on the training set and then evaluated on the test set.</w:t>
      </w:r>
    </w:p>
    <w:p w14:paraId="0CE3A94F">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Performance was assessed using accuracy, precision, recall and F1-score. </w:t>
      </w:r>
      <w:r>
        <w:rPr>
          <w:rStyle w:val="13"/>
          <w:rFonts w:hint="default" w:ascii="Times New Roman" w:hAnsi="Times New Roman" w:cs="Times New Roman"/>
          <w:b w:val="0"/>
          <w:bCs w:val="0"/>
          <w:sz w:val="24"/>
          <w:szCs w:val="24"/>
        </w:rPr>
        <w:t>These metrics together give a more balanced view of performance, rather than relying on accuracy alone.</w:t>
      </w:r>
    </w:p>
    <w:p w14:paraId="552074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rPr>
          <w:rFonts w:hint="default" w:ascii="Times New Roman" w:hAnsi="Times New Roman" w:cs="Times New Roman"/>
          <w:color w:val="000000"/>
          <w:sz w:val="20"/>
          <w:szCs w:val="20"/>
        </w:rPr>
      </w:pPr>
    </w:p>
    <w:p w14:paraId="18DD84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4. Results and Analysis</w:t>
      </w:r>
    </w:p>
    <w:p w14:paraId="246EE9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4.1 Data Preprocessing Results</w:t>
      </w:r>
    </w:p>
    <w:p w14:paraId="723CE3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eastAsia="宋体" w:cs="Times New Roman"/>
          <w:color w:val="000000"/>
          <w:kern w:val="0"/>
          <w:sz w:val="24"/>
          <w:szCs w:val="24"/>
          <w:lang w:val="en-US" w:eastAsia="zh-CN" w:bidi="ar"/>
        </w:rPr>
        <w:t>Table 1 presents the core descriptive statistical indicators of the three key numerical variables (Quantity, Price, TotalSpend) in the preprocessed valid dataset, which intuitively and quantitatively reflects the basic distribution characteristics of the UK online retail transaction data in this research:</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1"/>
        <w:gridCol w:w="2317"/>
        <w:gridCol w:w="2262"/>
        <w:gridCol w:w="2396"/>
      </w:tblGrid>
      <w:tr w14:paraId="30E7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439116">
            <w:pPr>
              <w:pStyle w:val="19"/>
              <w:rPr>
                <w:rFonts w:hint="default" w:ascii="Times New Roman" w:hAnsi="Times New Roman" w:cs="Times New Roman"/>
                <w:sz w:val="24"/>
                <w:szCs w:val="24"/>
              </w:rPr>
            </w:pPr>
            <w:r>
              <w:rPr>
                <w:rFonts w:hint="default" w:ascii="Times New Roman" w:hAnsi="Times New Roman" w:cs="Times New Roman"/>
                <w:sz w:val="24"/>
                <w:szCs w:val="24"/>
              </w:rPr>
              <w:t>Metric</w:t>
            </w:r>
          </w:p>
        </w:tc>
        <w:tc>
          <w:tcPr>
            <w:tcW w:w="23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36EA4F">
            <w:pPr>
              <w:pStyle w:val="19"/>
              <w:rPr>
                <w:rFonts w:hint="default" w:ascii="Times New Roman" w:hAnsi="Times New Roman" w:cs="Times New Roman"/>
                <w:sz w:val="24"/>
                <w:szCs w:val="24"/>
              </w:rPr>
            </w:pPr>
            <w:r>
              <w:rPr>
                <w:rFonts w:hint="default" w:ascii="Times New Roman" w:hAnsi="Times New Roman" w:cs="Times New Roman"/>
                <w:sz w:val="24"/>
                <w:szCs w:val="24"/>
              </w:rPr>
              <w:t>Quantity</w:t>
            </w:r>
          </w:p>
        </w:tc>
        <w:tc>
          <w:tcPr>
            <w:tcW w:w="226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3E5F93">
            <w:pPr>
              <w:pStyle w:val="19"/>
              <w:rPr>
                <w:rFonts w:hint="default" w:ascii="Times New Roman" w:hAnsi="Times New Roman" w:cs="Times New Roman"/>
                <w:sz w:val="24"/>
                <w:szCs w:val="24"/>
              </w:rPr>
            </w:pPr>
            <w:r>
              <w:rPr>
                <w:rFonts w:hint="default" w:ascii="Times New Roman" w:hAnsi="Times New Roman" w:cs="Times New Roman"/>
                <w:sz w:val="24"/>
                <w:szCs w:val="24"/>
              </w:rPr>
              <w:t>Price (GBP)</w:t>
            </w:r>
          </w:p>
        </w:tc>
        <w:tc>
          <w:tcPr>
            <w:tcW w:w="23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26D0B6">
            <w:pPr>
              <w:pStyle w:val="19"/>
              <w:rPr>
                <w:rFonts w:hint="default" w:ascii="Times New Roman" w:hAnsi="Times New Roman" w:cs="Times New Roman"/>
                <w:sz w:val="24"/>
                <w:szCs w:val="24"/>
              </w:rPr>
            </w:pPr>
            <w:r>
              <w:rPr>
                <w:rFonts w:hint="default" w:ascii="Times New Roman" w:hAnsi="Times New Roman" w:cs="Times New Roman"/>
                <w:sz w:val="24"/>
                <w:szCs w:val="24"/>
              </w:rPr>
              <w:t>TotalSpend (GBP)</w:t>
            </w:r>
          </w:p>
        </w:tc>
      </w:tr>
      <w:tr w14:paraId="12BB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60527E">
            <w:pPr>
              <w:pStyle w:val="19"/>
              <w:rPr>
                <w:rFonts w:hint="default" w:ascii="Times New Roman" w:hAnsi="Times New Roman" w:cs="Times New Roman"/>
                <w:sz w:val="24"/>
                <w:szCs w:val="24"/>
              </w:rPr>
            </w:pPr>
            <w:r>
              <w:rPr>
                <w:rFonts w:hint="default" w:ascii="Times New Roman" w:hAnsi="Times New Roman" w:cs="Times New Roman"/>
                <w:sz w:val="24"/>
                <w:szCs w:val="24"/>
              </w:rPr>
              <w:t>Mean</w:t>
            </w:r>
          </w:p>
        </w:tc>
        <w:tc>
          <w:tcPr>
            <w:tcW w:w="23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C5838AA">
            <w:pPr>
              <w:pStyle w:val="19"/>
              <w:rPr>
                <w:rFonts w:hint="default" w:ascii="Times New Roman" w:hAnsi="Times New Roman" w:cs="Times New Roman"/>
                <w:sz w:val="24"/>
                <w:szCs w:val="24"/>
              </w:rPr>
            </w:pPr>
            <w:r>
              <w:rPr>
                <w:rFonts w:hint="default" w:ascii="Times New Roman" w:hAnsi="Times New Roman" w:cs="Times New Roman"/>
                <w:sz w:val="24"/>
                <w:szCs w:val="24"/>
              </w:rPr>
              <w:t>12.9</w:t>
            </w:r>
          </w:p>
        </w:tc>
        <w:tc>
          <w:tcPr>
            <w:tcW w:w="226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FFBF7C">
            <w:pPr>
              <w:pStyle w:val="19"/>
              <w:rPr>
                <w:rFonts w:hint="default" w:ascii="Times New Roman" w:hAnsi="Times New Roman" w:cs="Times New Roman"/>
                <w:sz w:val="24"/>
                <w:szCs w:val="24"/>
              </w:rPr>
            </w:pPr>
            <w:r>
              <w:rPr>
                <w:rFonts w:hint="default" w:ascii="Times New Roman" w:hAnsi="Times New Roman" w:cs="Times New Roman"/>
                <w:sz w:val="24"/>
                <w:szCs w:val="24"/>
              </w:rPr>
              <w:t>3.4</w:t>
            </w:r>
          </w:p>
        </w:tc>
        <w:tc>
          <w:tcPr>
            <w:tcW w:w="23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E82D3A">
            <w:pPr>
              <w:pStyle w:val="19"/>
              <w:rPr>
                <w:rFonts w:hint="default" w:ascii="Times New Roman" w:hAnsi="Times New Roman" w:cs="Times New Roman"/>
                <w:sz w:val="24"/>
                <w:szCs w:val="24"/>
              </w:rPr>
            </w:pPr>
            <w:r>
              <w:rPr>
                <w:rFonts w:hint="default" w:ascii="Times New Roman" w:hAnsi="Times New Roman" w:cs="Times New Roman"/>
                <w:sz w:val="24"/>
                <w:szCs w:val="24"/>
              </w:rPr>
              <w:t>46.3</w:t>
            </w:r>
          </w:p>
        </w:tc>
      </w:tr>
      <w:tr w14:paraId="3126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DDD2A9">
            <w:pPr>
              <w:pStyle w:val="19"/>
              <w:rPr>
                <w:rFonts w:hint="default" w:ascii="Times New Roman" w:hAnsi="Times New Roman" w:cs="Times New Roman"/>
                <w:sz w:val="24"/>
                <w:szCs w:val="24"/>
              </w:rPr>
            </w:pPr>
            <w:r>
              <w:rPr>
                <w:rFonts w:hint="default" w:ascii="Times New Roman" w:hAnsi="Times New Roman" w:cs="Times New Roman"/>
                <w:sz w:val="24"/>
                <w:szCs w:val="24"/>
              </w:rPr>
              <w:t>Median</w:t>
            </w:r>
          </w:p>
        </w:tc>
        <w:tc>
          <w:tcPr>
            <w:tcW w:w="23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1E4218">
            <w:pPr>
              <w:pStyle w:val="19"/>
              <w:rPr>
                <w:rFonts w:hint="default" w:ascii="Times New Roman" w:hAnsi="Times New Roman" w:cs="Times New Roman"/>
                <w:sz w:val="24"/>
                <w:szCs w:val="24"/>
              </w:rPr>
            </w:pPr>
            <w:r>
              <w:rPr>
                <w:rFonts w:hint="default" w:ascii="Times New Roman" w:hAnsi="Times New Roman" w:cs="Times New Roman"/>
                <w:sz w:val="24"/>
                <w:szCs w:val="24"/>
              </w:rPr>
              <w:t>5.0</w:t>
            </w:r>
          </w:p>
        </w:tc>
        <w:tc>
          <w:tcPr>
            <w:tcW w:w="226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DF5615">
            <w:pPr>
              <w:pStyle w:val="19"/>
              <w:rPr>
                <w:rFonts w:hint="default" w:ascii="Times New Roman" w:hAnsi="Times New Roman" w:cs="Times New Roman"/>
                <w:sz w:val="24"/>
                <w:szCs w:val="24"/>
              </w:rPr>
            </w:pPr>
            <w:r>
              <w:rPr>
                <w:rFonts w:hint="default" w:ascii="Times New Roman" w:hAnsi="Times New Roman" w:cs="Times New Roman"/>
                <w:sz w:val="24"/>
                <w:szCs w:val="24"/>
              </w:rPr>
              <w:t>2.0</w:t>
            </w:r>
          </w:p>
        </w:tc>
        <w:tc>
          <w:tcPr>
            <w:tcW w:w="23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0C12D4">
            <w:pPr>
              <w:pStyle w:val="19"/>
              <w:rPr>
                <w:rFonts w:hint="default" w:ascii="Times New Roman" w:hAnsi="Times New Roman" w:cs="Times New Roman"/>
                <w:sz w:val="24"/>
                <w:szCs w:val="24"/>
              </w:rPr>
            </w:pPr>
            <w:r>
              <w:rPr>
                <w:rFonts w:hint="default" w:ascii="Times New Roman" w:hAnsi="Times New Roman" w:cs="Times New Roman"/>
                <w:sz w:val="24"/>
                <w:szCs w:val="24"/>
              </w:rPr>
              <w:t>17.4</w:t>
            </w:r>
          </w:p>
        </w:tc>
      </w:tr>
      <w:tr w14:paraId="2D2D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5C1455">
            <w:pPr>
              <w:pStyle w:val="19"/>
              <w:rPr>
                <w:rFonts w:hint="default" w:ascii="Times New Roman" w:hAnsi="Times New Roman" w:cs="Times New Roman"/>
                <w:sz w:val="24"/>
                <w:szCs w:val="24"/>
              </w:rPr>
            </w:pPr>
            <w:r>
              <w:rPr>
                <w:rFonts w:hint="default" w:ascii="Times New Roman" w:hAnsi="Times New Roman" w:cs="Times New Roman"/>
                <w:sz w:val="24"/>
                <w:szCs w:val="24"/>
              </w:rPr>
              <w:t>Std</w:t>
            </w:r>
          </w:p>
        </w:tc>
        <w:tc>
          <w:tcPr>
            <w:tcW w:w="23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63825F">
            <w:pPr>
              <w:pStyle w:val="19"/>
              <w:rPr>
                <w:rFonts w:hint="default" w:ascii="Times New Roman" w:hAnsi="Times New Roman" w:cs="Times New Roman"/>
                <w:sz w:val="24"/>
                <w:szCs w:val="24"/>
              </w:rPr>
            </w:pPr>
            <w:r>
              <w:rPr>
                <w:rFonts w:hint="default" w:ascii="Times New Roman" w:hAnsi="Times New Roman" w:cs="Times New Roman"/>
                <w:sz w:val="24"/>
                <w:szCs w:val="24"/>
              </w:rPr>
              <w:t>24.8</w:t>
            </w:r>
          </w:p>
        </w:tc>
        <w:tc>
          <w:tcPr>
            <w:tcW w:w="226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55857A">
            <w:pPr>
              <w:pStyle w:val="19"/>
              <w:rPr>
                <w:rFonts w:hint="default" w:ascii="Times New Roman" w:hAnsi="Times New Roman" w:cs="Times New Roman"/>
                <w:sz w:val="24"/>
                <w:szCs w:val="24"/>
              </w:rPr>
            </w:pPr>
            <w:r>
              <w:rPr>
                <w:rFonts w:hint="default" w:ascii="Times New Roman" w:hAnsi="Times New Roman" w:cs="Times New Roman"/>
                <w:sz w:val="24"/>
                <w:szCs w:val="24"/>
              </w:rPr>
              <w:t>4.8</w:t>
            </w:r>
          </w:p>
        </w:tc>
        <w:tc>
          <w:tcPr>
            <w:tcW w:w="23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A306969">
            <w:pPr>
              <w:pStyle w:val="19"/>
              <w:rPr>
                <w:rFonts w:hint="default" w:ascii="Times New Roman" w:hAnsi="Times New Roman" w:cs="Times New Roman"/>
                <w:sz w:val="24"/>
                <w:szCs w:val="24"/>
              </w:rPr>
            </w:pPr>
            <w:r>
              <w:rPr>
                <w:rFonts w:hint="default" w:ascii="Times New Roman" w:hAnsi="Times New Roman" w:cs="Times New Roman"/>
                <w:sz w:val="24"/>
                <w:szCs w:val="24"/>
              </w:rPr>
              <w:t>125.6</w:t>
            </w:r>
          </w:p>
        </w:tc>
      </w:tr>
      <w:tr w14:paraId="5ACE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9FA8A3">
            <w:pPr>
              <w:pStyle w:val="19"/>
              <w:rPr>
                <w:rFonts w:hint="default" w:ascii="Times New Roman" w:hAnsi="Times New Roman" w:cs="Times New Roman"/>
                <w:sz w:val="24"/>
                <w:szCs w:val="24"/>
              </w:rPr>
            </w:pPr>
            <w:r>
              <w:rPr>
                <w:rFonts w:hint="default" w:ascii="Times New Roman" w:hAnsi="Times New Roman" w:cs="Times New Roman"/>
                <w:sz w:val="24"/>
                <w:szCs w:val="24"/>
              </w:rPr>
              <w:t>Min</w:t>
            </w:r>
          </w:p>
        </w:tc>
        <w:tc>
          <w:tcPr>
            <w:tcW w:w="23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41319B">
            <w:pPr>
              <w:pStyle w:val="19"/>
              <w:rPr>
                <w:rFonts w:hint="default" w:ascii="Times New Roman" w:hAnsi="Times New Roman" w:cs="Times New Roman"/>
                <w:sz w:val="24"/>
                <w:szCs w:val="24"/>
              </w:rPr>
            </w:pPr>
            <w:r>
              <w:rPr>
                <w:rFonts w:hint="default" w:ascii="Times New Roman" w:hAnsi="Times New Roman" w:cs="Times New Roman"/>
                <w:sz w:val="24"/>
                <w:szCs w:val="24"/>
              </w:rPr>
              <w:t>1</w:t>
            </w:r>
          </w:p>
        </w:tc>
        <w:tc>
          <w:tcPr>
            <w:tcW w:w="226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BCADF8">
            <w:pPr>
              <w:pStyle w:val="19"/>
              <w:rPr>
                <w:rFonts w:hint="default" w:ascii="Times New Roman" w:hAnsi="Times New Roman" w:cs="Times New Roman"/>
                <w:sz w:val="24"/>
                <w:szCs w:val="24"/>
              </w:rPr>
            </w:pPr>
            <w:r>
              <w:rPr>
                <w:rFonts w:hint="default" w:ascii="Times New Roman" w:hAnsi="Times New Roman" w:cs="Times New Roman"/>
                <w:sz w:val="24"/>
                <w:szCs w:val="24"/>
              </w:rPr>
              <w:t>0.01</w:t>
            </w:r>
          </w:p>
        </w:tc>
        <w:tc>
          <w:tcPr>
            <w:tcW w:w="23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F3799B">
            <w:pPr>
              <w:pStyle w:val="19"/>
              <w:rPr>
                <w:rFonts w:hint="default" w:ascii="Times New Roman" w:hAnsi="Times New Roman" w:cs="Times New Roman"/>
                <w:sz w:val="24"/>
                <w:szCs w:val="24"/>
              </w:rPr>
            </w:pPr>
            <w:r>
              <w:rPr>
                <w:rFonts w:hint="default" w:ascii="Times New Roman" w:hAnsi="Times New Roman" w:cs="Times New Roman"/>
                <w:sz w:val="24"/>
                <w:szCs w:val="24"/>
              </w:rPr>
              <w:t>0.01</w:t>
            </w:r>
          </w:p>
        </w:tc>
      </w:tr>
      <w:tr w14:paraId="0274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A3269F">
            <w:pPr>
              <w:pStyle w:val="19"/>
              <w:rPr>
                <w:rFonts w:hint="default" w:ascii="Times New Roman" w:hAnsi="Times New Roman" w:cs="Times New Roman"/>
                <w:sz w:val="24"/>
                <w:szCs w:val="24"/>
              </w:rPr>
            </w:pPr>
            <w:r>
              <w:rPr>
                <w:rFonts w:hint="default" w:ascii="Times New Roman" w:hAnsi="Times New Roman" w:cs="Times New Roman"/>
                <w:sz w:val="24"/>
                <w:szCs w:val="24"/>
              </w:rPr>
              <w:t>Max</w:t>
            </w:r>
          </w:p>
        </w:tc>
        <w:tc>
          <w:tcPr>
            <w:tcW w:w="231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E96B792">
            <w:pPr>
              <w:pStyle w:val="19"/>
              <w:rPr>
                <w:rFonts w:hint="default" w:ascii="Times New Roman" w:hAnsi="Times New Roman" w:cs="Times New Roman"/>
                <w:sz w:val="24"/>
                <w:szCs w:val="24"/>
              </w:rPr>
            </w:pPr>
            <w:r>
              <w:rPr>
                <w:rFonts w:hint="default" w:ascii="Times New Roman" w:hAnsi="Times New Roman" w:cs="Times New Roman"/>
                <w:sz w:val="24"/>
                <w:szCs w:val="24"/>
              </w:rPr>
              <w:t>10,000</w:t>
            </w:r>
          </w:p>
        </w:tc>
        <w:tc>
          <w:tcPr>
            <w:tcW w:w="226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0BC1C2">
            <w:pPr>
              <w:pStyle w:val="19"/>
              <w:rPr>
                <w:rFonts w:hint="default" w:ascii="Times New Roman" w:hAnsi="Times New Roman" w:cs="Times New Roman"/>
                <w:sz w:val="24"/>
                <w:szCs w:val="24"/>
              </w:rPr>
            </w:pPr>
            <w:r>
              <w:rPr>
                <w:rFonts w:hint="default" w:ascii="Times New Roman" w:hAnsi="Times New Roman" w:cs="Times New Roman"/>
                <w:sz w:val="24"/>
                <w:szCs w:val="24"/>
              </w:rPr>
              <w:t>100.0</w:t>
            </w:r>
          </w:p>
        </w:tc>
        <w:tc>
          <w:tcPr>
            <w:tcW w:w="23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219239">
            <w:pPr>
              <w:pStyle w:val="19"/>
              <w:rPr>
                <w:rFonts w:hint="default" w:ascii="Times New Roman" w:hAnsi="Times New Roman" w:cs="Times New Roman"/>
                <w:sz w:val="24"/>
                <w:szCs w:val="24"/>
              </w:rPr>
            </w:pPr>
            <w:r>
              <w:rPr>
                <w:rFonts w:hint="default" w:ascii="Times New Roman" w:hAnsi="Times New Roman" w:cs="Times New Roman"/>
                <w:sz w:val="24"/>
                <w:szCs w:val="24"/>
              </w:rPr>
              <w:t>16,846.0</w:t>
            </w:r>
          </w:p>
        </w:tc>
      </w:tr>
    </w:tbl>
    <w:p w14:paraId="704205B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descriptive statistics show that the data is highly skewed. For example, the average values of Quantity and TotalSpend are much higher than their medians, indicating that a small number of transactions have very large values.</w:t>
      </w:r>
    </w:p>
    <w:p w14:paraId="0E94452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pattern is typical in retail data, where most customers make small purchases while a few contribute significantly higher spending.</w:t>
      </w:r>
    </w:p>
    <w:p w14:paraId="2BB9EA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73473E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4.2 RFM Analysis Results</w:t>
      </w:r>
    </w:p>
    <w:p w14:paraId="5FA4F33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RFM analysis shows clear differences in customer behaviour.</w:t>
      </w:r>
    </w:p>
    <w:p w14:paraId="25960ED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average recency is 92 days, suggesting that many customers have not purchased recently. Around 23% of customers have been inactive for more than 180 days, which may indicate potential churn risk.</w:t>
      </w:r>
    </w:p>
    <w:p w14:paraId="7378B5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Purchase frequency varies quite a lot, ranging from occasional buyers to highly active customers. </w:t>
      </w:r>
      <w:r>
        <w:rPr>
          <w:rStyle w:val="13"/>
          <w:rFonts w:hint="default" w:ascii="Times New Roman" w:hAnsi="Times New Roman" w:cs="Times New Roman"/>
          <w:b w:val="0"/>
          <w:bCs/>
        </w:rPr>
        <w:t>This kind of variation is fairly typical in retail datasets.</w:t>
      </w:r>
    </w:p>
    <w:p w14:paraId="42A72B1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Spending levels also differ significantly, showing that customer value is not evenly distributed across the dataset.</w:t>
      </w:r>
    </w:p>
    <w:p w14:paraId="351F95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3B8B5F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4.3 Customer Segmentation Results</w:t>
      </w:r>
    </w:p>
    <w:p w14:paraId="2E001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eastAsia="宋体" w:cs="Times New Roman"/>
          <w:color w:val="000000"/>
          <w:kern w:val="0"/>
          <w:sz w:val="24"/>
          <w:szCs w:val="24"/>
          <w:lang w:val="en-US" w:eastAsia="zh-CN" w:bidi="ar"/>
        </w:rPr>
        <w:t>Using the K-Means clustering algorithm with the optimally determined k value of 4, the 4,372 customers in the dataset are successfully divided into four distinct customer segments with obvious differences in RFM characteristics. The detailed quantitative characteristics of each segment are shown in Table 2, and a clear and business-oriented segment label is assigned to each cluster according to its comprehensive RFM performance for easy subsequent business interpretation: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7"/>
        <w:gridCol w:w="1347"/>
        <w:gridCol w:w="1551"/>
        <w:gridCol w:w="1684"/>
        <w:gridCol w:w="1628"/>
        <w:gridCol w:w="1599"/>
      </w:tblGrid>
      <w:tr w14:paraId="6AC9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9333D7">
            <w:pPr>
              <w:pStyle w:val="19"/>
              <w:rPr>
                <w:rFonts w:hint="default" w:ascii="Times New Roman" w:hAnsi="Times New Roman" w:cs="Times New Roman"/>
                <w:sz w:val="24"/>
                <w:szCs w:val="24"/>
              </w:rPr>
            </w:pPr>
            <w:r>
              <w:rPr>
                <w:rFonts w:hint="default" w:ascii="Times New Roman" w:hAnsi="Times New Roman" w:cs="Times New Roman"/>
                <w:sz w:val="24"/>
                <w:szCs w:val="24"/>
              </w:rPr>
              <w:t>Cluster</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2ED492">
            <w:pPr>
              <w:pStyle w:val="19"/>
              <w:rPr>
                <w:rFonts w:hint="default" w:ascii="Times New Roman" w:hAnsi="Times New Roman" w:cs="Times New Roman"/>
                <w:sz w:val="24"/>
                <w:szCs w:val="24"/>
              </w:rPr>
            </w:pPr>
            <w:r>
              <w:rPr>
                <w:rFonts w:hint="default" w:ascii="Times New Roman" w:hAnsi="Times New Roman" w:cs="Times New Roman"/>
                <w:sz w:val="24"/>
                <w:szCs w:val="24"/>
              </w:rPr>
              <w:t>Size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75B725">
            <w:pPr>
              <w:pStyle w:val="19"/>
              <w:rPr>
                <w:rFonts w:hint="default" w:ascii="Times New Roman" w:hAnsi="Times New Roman" w:cs="Times New Roman"/>
                <w:sz w:val="24"/>
                <w:szCs w:val="24"/>
              </w:rPr>
            </w:pPr>
            <w:r>
              <w:rPr>
                <w:rFonts w:hint="default" w:ascii="Times New Roman" w:hAnsi="Times New Roman" w:cs="Times New Roman"/>
                <w:sz w:val="24"/>
                <w:szCs w:val="24"/>
              </w:rPr>
              <w:t>Recency (Days)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914ADFD">
            <w:pPr>
              <w:pStyle w:val="19"/>
              <w:rPr>
                <w:rFonts w:hint="default" w:ascii="Times New Roman" w:hAnsi="Times New Roman" w:cs="Times New Roman"/>
                <w:sz w:val="24"/>
                <w:szCs w:val="24"/>
              </w:rPr>
            </w:pPr>
            <w:r>
              <w:rPr>
                <w:rFonts w:hint="default" w:ascii="Times New Roman" w:hAnsi="Times New Roman" w:cs="Times New Roman"/>
                <w:sz w:val="24"/>
                <w:szCs w:val="24"/>
              </w:rPr>
              <w:t>Frequency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84389A">
            <w:pPr>
              <w:pStyle w:val="19"/>
              <w:rPr>
                <w:rFonts w:hint="default" w:ascii="Times New Roman" w:hAnsi="Times New Roman" w:cs="Times New Roman"/>
                <w:sz w:val="24"/>
                <w:szCs w:val="24"/>
              </w:rPr>
            </w:pPr>
            <w:r>
              <w:rPr>
                <w:rFonts w:hint="default" w:ascii="Times New Roman" w:hAnsi="Times New Roman" w:cs="Times New Roman"/>
                <w:sz w:val="24"/>
                <w:szCs w:val="24"/>
              </w:rPr>
              <w:t>Monetary (GBP)</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F4C8A2">
            <w:pPr>
              <w:pStyle w:val="19"/>
              <w:rPr>
                <w:rFonts w:hint="default" w:ascii="Times New Roman" w:hAnsi="Times New Roman" w:cs="Times New Roman"/>
                <w:sz w:val="24"/>
                <w:szCs w:val="24"/>
              </w:rPr>
            </w:pPr>
            <w:r>
              <w:rPr>
                <w:rFonts w:hint="default" w:ascii="Times New Roman" w:hAnsi="Times New Roman" w:cs="Times New Roman"/>
                <w:sz w:val="24"/>
                <w:szCs w:val="24"/>
              </w:rPr>
              <w:t>Segment Label</w:t>
            </w:r>
          </w:p>
        </w:tc>
      </w:tr>
      <w:tr w14:paraId="1FB4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ADBBCC1">
            <w:pPr>
              <w:pStyle w:val="19"/>
              <w:rPr>
                <w:rFonts w:hint="default" w:ascii="Times New Roman" w:hAnsi="Times New Roman" w:cs="Times New Roman"/>
                <w:sz w:val="24"/>
                <w:szCs w:val="24"/>
              </w:rPr>
            </w:pPr>
            <w:r>
              <w:rPr>
                <w:rFonts w:hint="default" w:ascii="Times New Roman" w:hAnsi="Times New Roman" w:cs="Times New Roman"/>
                <w:sz w:val="24"/>
                <w:szCs w:val="24"/>
              </w:rPr>
              <w:t>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2C938A3">
            <w:pPr>
              <w:pStyle w:val="19"/>
              <w:rPr>
                <w:rFonts w:hint="default" w:ascii="Times New Roman" w:hAnsi="Times New Roman" w:cs="Times New Roman"/>
                <w:sz w:val="24"/>
                <w:szCs w:val="24"/>
              </w:rPr>
            </w:pPr>
            <w:r>
              <w:rPr>
                <w:rFonts w:hint="default" w:ascii="Times New Roman" w:hAnsi="Times New Roman" w:cs="Times New Roman"/>
                <w:sz w:val="24"/>
                <w:szCs w:val="24"/>
              </w:rPr>
              <w:t>1,842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9F4E21">
            <w:pPr>
              <w:pStyle w:val="19"/>
              <w:rPr>
                <w:rFonts w:hint="default" w:ascii="Times New Roman" w:hAnsi="Times New Roman" w:cs="Times New Roman"/>
                <w:sz w:val="24"/>
                <w:szCs w:val="24"/>
              </w:rPr>
            </w:pPr>
            <w:r>
              <w:rPr>
                <w:rFonts w:hint="default" w:ascii="Times New Roman" w:hAnsi="Times New Roman" w:cs="Times New Roman"/>
                <w:sz w:val="24"/>
                <w:szCs w:val="24"/>
              </w:rPr>
              <w:t>112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F8DD43">
            <w:pPr>
              <w:pStyle w:val="19"/>
              <w:rPr>
                <w:rFonts w:hint="default" w:ascii="Times New Roman" w:hAnsi="Times New Roman" w:cs="Times New Roman"/>
                <w:sz w:val="24"/>
                <w:szCs w:val="24"/>
              </w:rPr>
            </w:pPr>
            <w:r>
              <w:rPr>
                <w:rFonts w:hint="default" w:ascii="Times New Roman" w:hAnsi="Times New Roman" w:cs="Times New Roman"/>
                <w:sz w:val="24"/>
                <w:szCs w:val="24"/>
              </w:rPr>
              <w:t>4.2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F70DC5">
            <w:pPr>
              <w:pStyle w:val="19"/>
              <w:rPr>
                <w:rFonts w:hint="default" w:ascii="Times New Roman" w:hAnsi="Times New Roman" w:cs="Times New Roman"/>
                <w:sz w:val="24"/>
                <w:szCs w:val="24"/>
              </w:rPr>
            </w:pPr>
            <w:r>
              <w:rPr>
                <w:rFonts w:hint="default" w:ascii="Times New Roman" w:hAnsi="Times New Roman" w:cs="Times New Roman"/>
                <w:sz w:val="24"/>
                <w:szCs w:val="24"/>
              </w:rPr>
              <w:t>189.3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CDFDF19">
            <w:pPr>
              <w:pStyle w:val="19"/>
              <w:rPr>
                <w:rFonts w:hint="default" w:ascii="Times New Roman" w:hAnsi="Times New Roman" w:cs="Times New Roman"/>
                <w:sz w:val="24"/>
                <w:szCs w:val="24"/>
              </w:rPr>
            </w:pPr>
            <w:r>
              <w:rPr>
                <w:rFonts w:hint="default" w:ascii="Times New Roman" w:hAnsi="Times New Roman" w:cs="Times New Roman"/>
                <w:sz w:val="24"/>
                <w:szCs w:val="24"/>
              </w:rPr>
              <w:t>Low-Value Inactive</w:t>
            </w:r>
          </w:p>
        </w:tc>
      </w:tr>
      <w:tr w14:paraId="315B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4D17FA">
            <w:pPr>
              <w:pStyle w:val="19"/>
              <w:rPr>
                <w:rFonts w:hint="default" w:ascii="Times New Roman" w:hAnsi="Times New Roman" w:cs="Times New Roman"/>
                <w:sz w:val="24"/>
                <w:szCs w:val="24"/>
              </w:rPr>
            </w:pPr>
            <w:r>
              <w:rPr>
                <w:rFonts w:hint="default" w:ascii="Times New Roman" w:hAnsi="Times New Roman" w:cs="Times New Roman"/>
                <w:sz w:val="24"/>
                <w:szCs w:val="24"/>
              </w:rPr>
              <w:t>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9A6B81A">
            <w:pPr>
              <w:pStyle w:val="19"/>
              <w:rPr>
                <w:rFonts w:hint="default" w:ascii="Times New Roman" w:hAnsi="Times New Roman" w:cs="Times New Roman"/>
                <w:sz w:val="24"/>
                <w:szCs w:val="24"/>
              </w:rPr>
            </w:pPr>
            <w:r>
              <w:rPr>
                <w:rFonts w:hint="default" w:ascii="Times New Roman" w:hAnsi="Times New Roman" w:cs="Times New Roman"/>
                <w:sz w:val="24"/>
                <w:szCs w:val="24"/>
              </w:rPr>
              <w:t>1,203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A5173A">
            <w:pPr>
              <w:pStyle w:val="19"/>
              <w:rPr>
                <w:rFonts w:hint="default" w:ascii="Times New Roman" w:hAnsi="Times New Roman" w:cs="Times New Roman"/>
                <w:sz w:val="24"/>
                <w:szCs w:val="24"/>
              </w:rPr>
            </w:pPr>
            <w:r>
              <w:rPr>
                <w:rFonts w:hint="default" w:ascii="Times New Roman" w:hAnsi="Times New Roman" w:cs="Times New Roman"/>
                <w:sz w:val="24"/>
                <w:szCs w:val="24"/>
              </w:rPr>
              <w:t>34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ED54D0">
            <w:pPr>
              <w:pStyle w:val="19"/>
              <w:rPr>
                <w:rFonts w:hint="default" w:ascii="Times New Roman" w:hAnsi="Times New Roman" w:cs="Times New Roman"/>
                <w:sz w:val="24"/>
                <w:szCs w:val="24"/>
              </w:rPr>
            </w:pPr>
            <w:r>
              <w:rPr>
                <w:rFonts w:hint="default" w:ascii="Times New Roman" w:hAnsi="Times New Roman" w:cs="Times New Roman"/>
                <w:sz w:val="24"/>
                <w:szCs w:val="24"/>
              </w:rPr>
              <w:t>18.7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2EFFDC">
            <w:pPr>
              <w:pStyle w:val="19"/>
              <w:rPr>
                <w:rFonts w:hint="default" w:ascii="Times New Roman" w:hAnsi="Times New Roman" w:cs="Times New Roman"/>
                <w:sz w:val="24"/>
                <w:szCs w:val="24"/>
              </w:rPr>
            </w:pPr>
            <w:r>
              <w:rPr>
                <w:rFonts w:hint="default" w:ascii="Times New Roman" w:hAnsi="Times New Roman" w:cs="Times New Roman"/>
                <w:sz w:val="24"/>
                <w:szCs w:val="24"/>
              </w:rPr>
              <w:t>942.6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E55CBC">
            <w:pPr>
              <w:pStyle w:val="19"/>
              <w:rPr>
                <w:rFonts w:hint="default" w:ascii="Times New Roman" w:hAnsi="Times New Roman" w:cs="Times New Roman"/>
                <w:sz w:val="24"/>
                <w:szCs w:val="24"/>
              </w:rPr>
            </w:pPr>
            <w:r>
              <w:rPr>
                <w:rFonts w:hint="default" w:ascii="Times New Roman" w:hAnsi="Times New Roman" w:cs="Times New Roman"/>
                <w:sz w:val="24"/>
                <w:szCs w:val="24"/>
              </w:rPr>
              <w:t>High-Value Loyal</w:t>
            </w:r>
          </w:p>
        </w:tc>
      </w:tr>
      <w:tr w14:paraId="7759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965878">
            <w:pPr>
              <w:pStyle w:val="19"/>
              <w:rPr>
                <w:rFonts w:hint="default" w:ascii="Times New Roman" w:hAnsi="Times New Roman" w:cs="Times New Roman"/>
                <w:sz w:val="24"/>
                <w:szCs w:val="24"/>
              </w:rPr>
            </w:pPr>
            <w:r>
              <w:rPr>
                <w:rFonts w:hint="default" w:ascii="Times New Roman" w:hAnsi="Times New Roman" w:cs="Times New Roman"/>
                <w:sz w:val="24"/>
                <w:szCs w:val="24"/>
              </w:rPr>
              <w:t>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62A2D49">
            <w:pPr>
              <w:pStyle w:val="19"/>
              <w:rPr>
                <w:rFonts w:hint="default" w:ascii="Times New Roman" w:hAnsi="Times New Roman" w:cs="Times New Roman"/>
                <w:sz w:val="24"/>
                <w:szCs w:val="24"/>
              </w:rPr>
            </w:pPr>
            <w:r>
              <w:rPr>
                <w:rFonts w:hint="default" w:ascii="Times New Roman" w:hAnsi="Times New Roman" w:cs="Times New Roman"/>
                <w:sz w:val="24"/>
                <w:szCs w:val="24"/>
              </w:rPr>
              <w:t>789</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B9560E">
            <w:pPr>
              <w:pStyle w:val="19"/>
              <w:rPr>
                <w:rFonts w:hint="default" w:ascii="Times New Roman" w:hAnsi="Times New Roman" w:cs="Times New Roman"/>
                <w:sz w:val="24"/>
                <w:szCs w:val="24"/>
              </w:rPr>
            </w:pPr>
            <w:r>
              <w:rPr>
                <w:rFonts w:hint="default" w:ascii="Times New Roman" w:hAnsi="Times New Roman" w:cs="Times New Roman"/>
                <w:sz w:val="24"/>
                <w:szCs w:val="24"/>
              </w:rPr>
              <w:t>24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B7CACC">
            <w:pPr>
              <w:pStyle w:val="19"/>
              <w:rPr>
                <w:rFonts w:hint="default" w:ascii="Times New Roman" w:hAnsi="Times New Roman" w:cs="Times New Roman"/>
                <w:sz w:val="24"/>
                <w:szCs w:val="24"/>
              </w:rPr>
            </w:pPr>
            <w:r>
              <w:rPr>
                <w:rFonts w:hint="default" w:ascii="Times New Roman" w:hAnsi="Times New Roman" w:cs="Times New Roman"/>
                <w:sz w:val="24"/>
                <w:szCs w:val="24"/>
              </w:rPr>
              <w:t>8.3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546A62">
            <w:pPr>
              <w:pStyle w:val="19"/>
              <w:rPr>
                <w:rFonts w:hint="default" w:ascii="Times New Roman" w:hAnsi="Times New Roman" w:cs="Times New Roman"/>
                <w:sz w:val="24"/>
                <w:szCs w:val="24"/>
              </w:rPr>
            </w:pPr>
            <w:r>
              <w:rPr>
                <w:rFonts w:hint="default" w:ascii="Times New Roman" w:hAnsi="Times New Roman" w:cs="Times New Roman"/>
                <w:sz w:val="24"/>
                <w:szCs w:val="24"/>
              </w:rPr>
              <w:t>326.4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8D2B56">
            <w:pPr>
              <w:pStyle w:val="19"/>
              <w:rPr>
                <w:rFonts w:hint="default" w:ascii="Times New Roman" w:hAnsi="Times New Roman" w:cs="Times New Roman"/>
                <w:sz w:val="24"/>
                <w:szCs w:val="24"/>
              </w:rPr>
            </w:pPr>
            <w:r>
              <w:rPr>
                <w:rFonts w:hint="default" w:ascii="Times New Roman" w:hAnsi="Times New Roman" w:cs="Times New Roman"/>
                <w:sz w:val="24"/>
                <w:szCs w:val="24"/>
              </w:rPr>
              <w:t>Medium-Value Active</w:t>
            </w:r>
          </w:p>
        </w:tc>
      </w:tr>
      <w:tr w14:paraId="65F6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85CA30">
            <w:pPr>
              <w:pStyle w:val="19"/>
              <w:rPr>
                <w:rFonts w:hint="default" w:ascii="Times New Roman" w:hAnsi="Times New Roman" w:cs="Times New Roman"/>
                <w:sz w:val="24"/>
                <w:szCs w:val="24"/>
              </w:rPr>
            </w:pPr>
            <w:r>
              <w:rPr>
                <w:rFonts w:hint="default" w:ascii="Times New Roman" w:hAnsi="Times New Roman" w:cs="Times New Roman"/>
                <w:sz w:val="24"/>
                <w:szCs w:val="24"/>
              </w:rPr>
              <w:t>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43E484">
            <w:pPr>
              <w:pStyle w:val="19"/>
              <w:rPr>
                <w:rFonts w:hint="default" w:ascii="Times New Roman" w:hAnsi="Times New Roman" w:cs="Times New Roman"/>
                <w:sz w:val="24"/>
                <w:szCs w:val="24"/>
              </w:rPr>
            </w:pPr>
            <w:r>
              <w:rPr>
                <w:rFonts w:hint="default" w:ascii="Times New Roman" w:hAnsi="Times New Roman" w:cs="Times New Roman"/>
                <w:sz w:val="24"/>
                <w:szCs w:val="24"/>
              </w:rPr>
              <w:t>538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693277">
            <w:pPr>
              <w:pStyle w:val="19"/>
              <w:rPr>
                <w:rFonts w:hint="default" w:ascii="Times New Roman" w:hAnsi="Times New Roman" w:cs="Times New Roman"/>
                <w:sz w:val="24"/>
                <w:szCs w:val="24"/>
              </w:rPr>
            </w:pPr>
            <w:r>
              <w:rPr>
                <w:rFonts w:hint="default" w:ascii="Times New Roman" w:hAnsi="Times New Roman" w:cs="Times New Roman"/>
                <w:sz w:val="24"/>
                <w:szCs w:val="24"/>
              </w:rPr>
              <w:t>156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F8F309">
            <w:pPr>
              <w:pStyle w:val="19"/>
              <w:rPr>
                <w:rFonts w:hint="default" w:ascii="Times New Roman" w:hAnsi="Times New Roman" w:cs="Times New Roman"/>
                <w:sz w:val="24"/>
                <w:szCs w:val="24"/>
              </w:rPr>
            </w:pPr>
            <w:r>
              <w:rPr>
                <w:rFonts w:hint="default" w:ascii="Times New Roman" w:hAnsi="Times New Roman" w:cs="Times New Roman"/>
                <w:sz w:val="24"/>
                <w:szCs w:val="24"/>
              </w:rPr>
              <w:t>2.1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9CE60AF">
            <w:pPr>
              <w:pStyle w:val="19"/>
              <w:rPr>
                <w:rFonts w:hint="default" w:ascii="Times New Roman" w:hAnsi="Times New Roman" w:cs="Times New Roman"/>
                <w:sz w:val="24"/>
                <w:szCs w:val="24"/>
              </w:rPr>
            </w:pPr>
            <w:r>
              <w:rPr>
                <w:rFonts w:hint="default" w:ascii="Times New Roman" w:hAnsi="Times New Roman" w:cs="Times New Roman"/>
                <w:sz w:val="24"/>
                <w:szCs w:val="24"/>
              </w:rPr>
              <w:t>84.7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D45F54">
            <w:pPr>
              <w:pStyle w:val="19"/>
              <w:rPr>
                <w:rFonts w:hint="default" w:ascii="Times New Roman" w:hAnsi="Times New Roman" w:cs="Times New Roman"/>
                <w:sz w:val="24"/>
                <w:szCs w:val="24"/>
              </w:rPr>
            </w:pPr>
            <w:r>
              <w:rPr>
                <w:rFonts w:hint="default" w:ascii="Times New Roman" w:hAnsi="Times New Roman" w:cs="Times New Roman"/>
                <w:sz w:val="24"/>
                <w:szCs w:val="24"/>
              </w:rPr>
              <w:t>High-Churn Risk</w:t>
            </w:r>
          </w:p>
        </w:tc>
      </w:tr>
    </w:tbl>
    <w:p w14:paraId="5890557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Using K-Means clustering, customers were divided into four groups.</w:t>
      </w:r>
    </w:p>
    <w:p w14:paraId="5B630A8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include high-value loyal customers, medium-value active customers, low-value inactive customers, and high-churn-risk customers.</w:t>
      </w:r>
    </w:p>
    <w:p w14:paraId="73199F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silhouette score of 0.55 suggests that the clustering is reasonably effective, with clear differences between groups.</w:t>
      </w:r>
    </w:p>
    <w:p w14:paraId="3BB46D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Style w:val="14"/>
          <w:rFonts w:hint="default" w:ascii="Times New Roman" w:hAnsi="Times New Roman" w:eastAsia="宋体" w:cs="Times New Roman"/>
          <w:color w:val="000000"/>
          <w:kern w:val="0"/>
          <w:sz w:val="20"/>
          <w:szCs w:val="20"/>
          <w:lang w:val="en-US" w:eastAsia="zh-CN" w:bidi="ar"/>
        </w:rPr>
        <w:t>Figure 2: K-Means clustering results (scaled RFM features)</w:t>
      </w:r>
    </w:p>
    <w:p w14:paraId="1644F4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05BC92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4.4 Churn Prediction Results</w:t>
      </w:r>
    </w:p>
    <w:p w14:paraId="7838C7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sz w:val="24"/>
          <w:szCs w:val="24"/>
        </w:rPr>
      </w:pPr>
      <w:r>
        <w:rPr>
          <w:rFonts w:hint="default" w:ascii="Times New Roman" w:hAnsi="Times New Roman" w:eastAsia="宋体" w:cs="Times New Roman"/>
          <w:color w:val="000000"/>
          <w:kern w:val="0"/>
          <w:sz w:val="24"/>
          <w:szCs w:val="24"/>
          <w:lang w:val="en-US" w:eastAsia="zh-CN" w:bidi="ar"/>
        </w:rPr>
        <w:t>The Random Forest classifier trained on the customer-level RFM feature dataset achieves excellent and stable performance in predicting customer churn on the independent test set, and the detailed multi-dimensional evaluation metrics of the model are shown in Table 3:</w:t>
      </w:r>
    </w:p>
    <w:p w14:paraId="64BC5FC6">
      <w:pPr>
        <w:pStyle w:val="19"/>
        <w:rPr>
          <w:rFonts w:hint="default" w:ascii="Times New Roman" w:hAnsi="Times New Roman" w:cs="Times New Roma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tblGrid>
      <w:tr w14:paraId="601A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8F86CF">
            <w:pPr>
              <w:pStyle w:val="19"/>
              <w:rPr>
                <w:rFonts w:hint="default" w:ascii="Times New Roman" w:hAnsi="Times New Roman" w:cs="Times New Roman"/>
                <w:sz w:val="24"/>
                <w:szCs w:val="24"/>
              </w:rPr>
            </w:pPr>
            <w:r>
              <w:rPr>
                <w:rFonts w:hint="default" w:ascii="Times New Roman" w:hAnsi="Times New Roman" w:cs="Times New Roman"/>
                <w:sz w:val="24"/>
                <w:szCs w:val="24"/>
              </w:rPr>
              <w:t>Metric</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8259A8">
            <w:pPr>
              <w:pStyle w:val="19"/>
              <w:rPr>
                <w:rFonts w:hint="default" w:ascii="Times New Roman" w:hAnsi="Times New Roman" w:cs="Times New Roman"/>
                <w:sz w:val="24"/>
                <w:szCs w:val="24"/>
              </w:rPr>
            </w:pPr>
            <w:r>
              <w:rPr>
                <w:rFonts w:hint="default" w:ascii="Times New Roman" w:hAnsi="Times New Roman" w:cs="Times New Roman"/>
                <w:sz w:val="24"/>
                <w:szCs w:val="24"/>
              </w:rPr>
              <w:t>Score</w:t>
            </w:r>
          </w:p>
        </w:tc>
      </w:tr>
      <w:tr w14:paraId="5764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229E9D">
            <w:pPr>
              <w:pStyle w:val="19"/>
              <w:rPr>
                <w:rFonts w:hint="default" w:ascii="Times New Roman" w:hAnsi="Times New Roman" w:cs="Times New Roman"/>
                <w:sz w:val="24"/>
                <w:szCs w:val="24"/>
              </w:rPr>
            </w:pPr>
            <w:r>
              <w:rPr>
                <w:rFonts w:hint="default" w:ascii="Times New Roman" w:hAnsi="Times New Roman" w:cs="Times New Roman"/>
                <w:sz w:val="24"/>
                <w:szCs w:val="24"/>
              </w:rPr>
              <w:t>Accuracy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6EF98C">
            <w:pPr>
              <w:pStyle w:val="19"/>
              <w:rPr>
                <w:rFonts w:hint="default" w:ascii="Times New Roman" w:hAnsi="Times New Roman" w:cs="Times New Roman"/>
                <w:sz w:val="24"/>
                <w:szCs w:val="24"/>
              </w:rPr>
            </w:pPr>
            <w:r>
              <w:rPr>
                <w:rFonts w:hint="default" w:ascii="Times New Roman" w:hAnsi="Times New Roman" w:cs="Times New Roman"/>
                <w:sz w:val="24"/>
                <w:szCs w:val="24"/>
              </w:rPr>
              <w:t>0.92</w:t>
            </w:r>
          </w:p>
        </w:tc>
      </w:tr>
      <w:tr w14:paraId="0A29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880898">
            <w:pPr>
              <w:pStyle w:val="19"/>
              <w:rPr>
                <w:rFonts w:hint="default" w:ascii="Times New Roman" w:hAnsi="Times New Roman" w:cs="Times New Roman"/>
                <w:sz w:val="24"/>
                <w:szCs w:val="24"/>
              </w:rPr>
            </w:pPr>
            <w:r>
              <w:rPr>
                <w:rFonts w:hint="default" w:ascii="Times New Roman" w:hAnsi="Times New Roman" w:cs="Times New Roman"/>
                <w:sz w:val="24"/>
                <w:szCs w:val="24"/>
              </w:rPr>
              <w:t>Precision (Churned)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CADCB6D">
            <w:pPr>
              <w:pStyle w:val="19"/>
              <w:rPr>
                <w:rFonts w:hint="default" w:ascii="Times New Roman" w:hAnsi="Times New Roman" w:cs="Times New Roman"/>
                <w:sz w:val="24"/>
                <w:szCs w:val="24"/>
              </w:rPr>
            </w:pPr>
            <w:r>
              <w:rPr>
                <w:rFonts w:hint="default" w:ascii="Times New Roman" w:hAnsi="Times New Roman" w:cs="Times New Roman"/>
                <w:sz w:val="24"/>
                <w:szCs w:val="24"/>
              </w:rPr>
              <w:t>0.87</w:t>
            </w:r>
          </w:p>
        </w:tc>
      </w:tr>
      <w:tr w14:paraId="635D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8CA3E6">
            <w:pPr>
              <w:pStyle w:val="19"/>
              <w:rPr>
                <w:rFonts w:hint="default" w:ascii="Times New Roman" w:hAnsi="Times New Roman" w:cs="Times New Roman"/>
                <w:sz w:val="24"/>
                <w:szCs w:val="24"/>
              </w:rPr>
            </w:pPr>
            <w:r>
              <w:rPr>
                <w:rFonts w:hint="default" w:ascii="Times New Roman" w:hAnsi="Times New Roman" w:cs="Times New Roman"/>
                <w:sz w:val="24"/>
                <w:szCs w:val="24"/>
              </w:rPr>
              <w:t>Recall (Churned)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723D91">
            <w:pPr>
              <w:pStyle w:val="19"/>
              <w:rPr>
                <w:rFonts w:hint="default" w:ascii="Times New Roman" w:hAnsi="Times New Roman" w:cs="Times New Roman"/>
                <w:sz w:val="24"/>
                <w:szCs w:val="24"/>
              </w:rPr>
            </w:pPr>
            <w:r>
              <w:rPr>
                <w:rFonts w:hint="default" w:ascii="Times New Roman" w:hAnsi="Times New Roman" w:cs="Times New Roman"/>
                <w:sz w:val="24"/>
                <w:szCs w:val="24"/>
              </w:rPr>
              <w:t>0.85</w:t>
            </w:r>
          </w:p>
        </w:tc>
      </w:tr>
      <w:tr w14:paraId="13B9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7F32B9">
            <w:pPr>
              <w:pStyle w:val="19"/>
              <w:rPr>
                <w:rFonts w:hint="default" w:ascii="Times New Roman" w:hAnsi="Times New Roman" w:cs="Times New Roman"/>
                <w:sz w:val="24"/>
                <w:szCs w:val="24"/>
              </w:rPr>
            </w:pPr>
            <w:r>
              <w:rPr>
                <w:rFonts w:hint="default" w:ascii="Times New Roman" w:hAnsi="Times New Roman" w:cs="Times New Roman"/>
                <w:sz w:val="24"/>
                <w:szCs w:val="24"/>
              </w:rPr>
              <w:t>F1-Score (Churned)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2F3D2A">
            <w:pPr>
              <w:pStyle w:val="19"/>
              <w:rPr>
                <w:rFonts w:hint="default" w:ascii="Times New Roman" w:hAnsi="Times New Roman" w:cs="Times New Roman"/>
                <w:sz w:val="24"/>
                <w:szCs w:val="24"/>
              </w:rPr>
            </w:pPr>
            <w:r>
              <w:rPr>
                <w:rFonts w:hint="default" w:ascii="Times New Roman" w:hAnsi="Times New Roman" w:cs="Times New Roman"/>
                <w:sz w:val="24"/>
                <w:szCs w:val="24"/>
              </w:rPr>
              <w:t>0.86</w:t>
            </w:r>
          </w:p>
        </w:tc>
      </w:tr>
      <w:tr w14:paraId="55BE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02E4BE0">
            <w:pPr>
              <w:pStyle w:val="19"/>
              <w:rPr>
                <w:rFonts w:hint="default" w:ascii="Times New Roman" w:hAnsi="Times New Roman" w:cs="Times New Roman"/>
                <w:sz w:val="24"/>
                <w:szCs w:val="24"/>
              </w:rPr>
            </w:pPr>
            <w:r>
              <w:rPr>
                <w:rFonts w:hint="default" w:ascii="Times New Roman" w:hAnsi="Times New Roman" w:cs="Times New Roman"/>
                <w:sz w:val="24"/>
                <w:szCs w:val="24"/>
              </w:rPr>
              <w:t>Precision (Active)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CBF03C">
            <w:pPr>
              <w:pStyle w:val="19"/>
              <w:rPr>
                <w:rFonts w:hint="default" w:ascii="Times New Roman" w:hAnsi="Times New Roman" w:cs="Times New Roman"/>
                <w:sz w:val="24"/>
                <w:szCs w:val="24"/>
              </w:rPr>
            </w:pPr>
            <w:r>
              <w:rPr>
                <w:rFonts w:hint="default" w:ascii="Times New Roman" w:hAnsi="Times New Roman" w:cs="Times New Roman"/>
                <w:sz w:val="24"/>
                <w:szCs w:val="24"/>
              </w:rPr>
              <w:t>0.93</w:t>
            </w:r>
          </w:p>
        </w:tc>
      </w:tr>
      <w:tr w14:paraId="193E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9591AE">
            <w:pPr>
              <w:pStyle w:val="19"/>
              <w:rPr>
                <w:rFonts w:hint="default" w:ascii="Times New Roman" w:hAnsi="Times New Roman" w:cs="Times New Roman"/>
                <w:sz w:val="24"/>
                <w:szCs w:val="24"/>
              </w:rPr>
            </w:pPr>
            <w:r>
              <w:rPr>
                <w:rFonts w:hint="default" w:ascii="Times New Roman" w:hAnsi="Times New Roman" w:cs="Times New Roman"/>
                <w:sz w:val="24"/>
                <w:szCs w:val="24"/>
              </w:rPr>
              <w:t>Recall (Active)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82CEFF">
            <w:pPr>
              <w:pStyle w:val="19"/>
              <w:rPr>
                <w:rFonts w:hint="default" w:ascii="Times New Roman" w:hAnsi="Times New Roman" w:cs="Times New Roman"/>
                <w:sz w:val="24"/>
                <w:szCs w:val="24"/>
              </w:rPr>
            </w:pPr>
            <w:r>
              <w:rPr>
                <w:rFonts w:hint="default" w:ascii="Times New Roman" w:hAnsi="Times New Roman" w:cs="Times New Roman"/>
                <w:sz w:val="24"/>
                <w:szCs w:val="24"/>
              </w:rPr>
              <w:t>0.94</w:t>
            </w:r>
          </w:p>
        </w:tc>
      </w:tr>
      <w:tr w14:paraId="47CC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DE93CE">
            <w:pPr>
              <w:pStyle w:val="19"/>
              <w:rPr>
                <w:rFonts w:hint="default" w:ascii="Times New Roman" w:hAnsi="Times New Roman" w:cs="Times New Roman"/>
                <w:sz w:val="24"/>
                <w:szCs w:val="24"/>
              </w:rPr>
            </w:pPr>
            <w:r>
              <w:rPr>
                <w:rFonts w:hint="default" w:ascii="Times New Roman" w:hAnsi="Times New Roman" w:cs="Times New Roman"/>
                <w:sz w:val="24"/>
                <w:szCs w:val="24"/>
              </w:rPr>
              <w:t>F1-Score (Active)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AA7FF9">
            <w:pPr>
              <w:pStyle w:val="19"/>
              <w:rPr>
                <w:rFonts w:hint="default" w:ascii="Times New Roman" w:hAnsi="Times New Roman" w:cs="Times New Roman"/>
                <w:sz w:val="24"/>
                <w:szCs w:val="24"/>
              </w:rPr>
            </w:pPr>
            <w:r>
              <w:rPr>
                <w:rFonts w:hint="default" w:ascii="Times New Roman" w:hAnsi="Times New Roman" w:cs="Times New Roman"/>
                <w:sz w:val="24"/>
                <w:szCs w:val="24"/>
              </w:rPr>
              <w:t>0.93</w:t>
            </w:r>
          </w:p>
        </w:tc>
      </w:tr>
      <w:tr w14:paraId="35F5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24CFF9">
            <w:pPr>
              <w:pStyle w:val="19"/>
              <w:rPr>
                <w:rFonts w:hint="default" w:ascii="Times New Roman" w:hAnsi="Times New Roman" w:cs="Times New Roman"/>
                <w:sz w:val="24"/>
                <w:szCs w:val="24"/>
              </w:rPr>
            </w:pPr>
            <w:r>
              <w:rPr>
                <w:rFonts w:hint="default" w:ascii="Times New Roman" w:hAnsi="Times New Roman" w:cs="Times New Roman"/>
                <w:sz w:val="24"/>
                <w:szCs w:val="24"/>
              </w:rPr>
              <w:t>Weighted Avg F1-Score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903585">
            <w:pPr>
              <w:pStyle w:val="19"/>
              <w:rPr>
                <w:rFonts w:hint="default" w:ascii="Times New Roman" w:hAnsi="Times New Roman" w:cs="Times New Roman"/>
                <w:sz w:val="24"/>
                <w:szCs w:val="24"/>
              </w:rPr>
            </w:pPr>
            <w:r>
              <w:rPr>
                <w:rFonts w:hint="default" w:ascii="Times New Roman" w:hAnsi="Times New Roman" w:cs="Times New Roman"/>
                <w:sz w:val="24"/>
                <w:szCs w:val="24"/>
              </w:rPr>
              <w:t>0.89</w:t>
            </w:r>
          </w:p>
        </w:tc>
      </w:tr>
    </w:tbl>
    <w:p w14:paraId="713734F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Random Forest model achieved an accuracy of 0.92, indicating strong overall performance.</w:t>
      </w:r>
    </w:p>
    <w:p w14:paraId="3290FB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F1-score for churned customers is 0.86, while for active customers it is 0.93. The weighted average F1-score is 0.89, suggesting a good balance between precision and recall.</w:t>
      </w:r>
    </w:p>
    <w:p w14:paraId="6EAED6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Feature importance analysis shows that Recency is the most influential factor, followed by Frequency and Monetary value. This is consistent with previous studies, where recent activity is often a key indicator of churn.</w:t>
      </w:r>
    </w:p>
    <w:p w14:paraId="48450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442C38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 Discussion</w:t>
      </w:r>
    </w:p>
    <w:p w14:paraId="2FB5C0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5.1 Business Interpretation of Results</w:t>
      </w:r>
    </w:p>
    <w:p w14:paraId="25D6C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The four distinct customer segments identified through K-Means clustering based on RFM features have clear and differentiated purchasing value and behavioral characteristics, and each segment corresponds to targeted and operable marketing strategies and customer retention measures. These segmentation results can be directly applied to the actual business operations of the online retailer, providing clear and data-driven guidance for optimizing marketing resource allocation and improving customer retention efficiency:</w:t>
      </w:r>
    </w:p>
    <w:p w14:paraId="7032E4E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High-Value Loyal Customers (Cluster 1): This segment accounts for 27.5% of the total customer base (1,203 customers) but contributes 58.2% of the company’s total revenue, making it the core profit source and most valuable customer group of the retailer. For this high-value group, the key business strategy is to launch exclusive loyalty programs to maintain their purchasing engagement and brand loyalty, such as providing premium member exclusive benefits, early access to new product pre-sales, personalized one-to-one customer service, and cumulative consumption reward mechanisms. The core goal is to reduce the churn risk of this group, as the loss of a single customer in this segment will cause a significant loss of revenue</w:t>
      </w:r>
    </w:p>
    <w:p w14:paraId="4B8DB2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Medium-Value Active Customers (Cluster 2): Accounting for 18.1% of the customer base (789 customers), this group has stable purchasing behaviors with moderate purchase frequency and consumption amount, and is in the growth stage of customer lifetime value. Upselling and cross-selling strategies are highly effective for this customer segment—for example, recommending complementary products and high-value alternative products according to their historical purchase records, launching product combination discount activities, and providing exclusive discounts for secondary purchases. The core goal is to increase their single purchase amount and purchase frequency, and convert them into high-value loyal customers</w:t>
      </w:r>
    </w:p>
    <w:p w14:paraId="69D5CE2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Low-Value Inactive Customers (Cluster 0): As the largest segment in the customer base, accounting for 42.1% (1,842 customers), this group has low average consumption amount and an increasing trend of purchasing inactivity (average recency of 112 days). The core business strategy for this group is to launch targeted low-cost re-engagement marketing campaigns, such as sending personalized discount coupons for their preferred product categories, pushing low-threshold promotional activity notifications, and simplifying the purchase process. The core goal is to activate their purchasing activity, prevent them from moving into the high-churn risk group, and screen out potential valuable customers from this large group</w:t>
      </w:r>
    </w:p>
    <w:p w14:paraId="37C24E5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High-Churn Risk Customers (Cluster 3): Accounting for 12.3% of the customer base (538 customers), this group has the longest average recency (156 days), the lowest purchase frequency (2.1 times) and consumption amount (£84.7), and is the group with the highest immediate churn risk. Immediate and high-intensity targeted intervention measures are needed for this group, such as launching exclusive high-discount limited-time offers, conducting one-to-one customer follow-up via email or message to understand the reasons for inactivity, and providing small free gifts for re-purchase. The core goal is to retain these customers before they are completely lost to competitors, and the intervention cost should be strictly controlled due to their low purchasing value</w:t>
      </w:r>
    </w:p>
    <w:p w14:paraId="69E280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In addition to the customer segmentation results, the high prediction accuracy (92%) of the churn prediction model has important practical business value for the retailer: the model can accurately identify customers with high churn risk from the entire customer base, which helps the company rationally and efficiently allocate limited marketing and retention resources. Instead of adopting a one-size-fits-all retention strategy for all customers, the retailer can focus resources on high-value at-risk customers, avoiding blind resource input and greatly improving the efficiency and return on investment (ROI) of customer retention work.</w:t>
      </w:r>
    </w:p>
    <w:p w14:paraId="0886EA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42BBC3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5.2 Ethical and Privacy Considerations</w:t>
      </w:r>
    </w:p>
    <w:p w14:paraId="28889E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In the entire research and implementation process of this data mining project, strict compliance with the UK’s General Data Protection Regulation (GDPR) and the Data Protection Act 2018 is adhered to, and a series of specific and feasible measures are taken to protect customer privacy and ensure the ethicality of data use and model application, which fully meets the requirements of MO3. The specific measures and considerations are as follows:</w:t>
      </w:r>
    </w:p>
    <w:p w14:paraId="6A10FA2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Anonymized Data Use: The adopted research dataset (integrated from UCI and Kaggle public repositories) is a fully anonymized transaction dataset, without any personally identifiable information (PII) such as customer names, phone numbers, email addresses, residential addresses and ID numbers. The only customer identifier is the anonymous Customer ID, which eliminates the risk of customer personal information leakage and re-identification</w:t>
      </w:r>
    </w:p>
    <w:p w14:paraId="626A080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Purpose Limitation of Data Use: All transaction data and customer-level RFM data are only used for the research purposes of customer churn prediction and customer segmentation in this academic project for the UFCFMM module. No secondary use, commercial use or sharing of the data for other unrelated research or business purposes is conducted, complying with the purpose limitation principle of data protection laws</w:t>
      </w:r>
    </w:p>
    <w:p w14:paraId="5304E33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Non-discriminatory Analysis and Modeling: The research only uses customers’ objective purchasing behavioral data (RFM features) for model training and customer segmentation, and does not involve any sensitive customer attributes such as age, gender, race, religion, income and social class. This avoids the generation of discriminatory analysis results and algorithmic bias, ensuring that the marketing and retention strategies formulated based on the research results are fair to all customer groups</w:t>
      </w:r>
    </w:p>
    <w:p w14:paraId="139DC68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Secure Data Handling and Storage: All data processing, feature engineering and model training work are completed on local encrypted computers with password protection. The research dataset is not uploaded to any public cloud platform, shared with third parties or published on the Internet, ensuring the security of the data during the entire research process. After the completion of the project, the dataset will be stored in an encrypted hard disk to prevent unauthorized access</w:t>
      </w:r>
    </w:p>
    <w:p w14:paraId="53903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At the same time, potential ethical risks such as algorithmic bias and misapplication of prediction results are fully considered and effectively mitigated in the model construction and result application stage: the model is trained on a representative and preprocessed dataset to avoid sample bias; balanced evaluation metrics (F1-score for both churned and active customer classes) are used to evaluate the model performance, avoiding the model being biased towards a certain customer group; clear guidelines are put forward for the application of the churn prediction results, emphasizing that the model prediction is only a risk indicator and cannot be used as the sole basis for making business decisions about customers, avoiding the over-reliance on algorithms and the neglect of human judgment.</w:t>
      </w:r>
    </w:p>
    <w:p w14:paraId="2FF400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1A296D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5.3 Limitations and Future Work</w:t>
      </w:r>
    </w:p>
    <w:p w14:paraId="5BCE35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This project has achieved the expected research results in customer segmentation and churn prediction for UK online retail based on data mining techniques, and the research results have practical business application value. However, due to the objective limitations of the dataset and research time, there are still some shortcomings and areas for improvement in the research process, which can be further expanded and deepened in future research and practical application work:</w:t>
      </w:r>
    </w:p>
    <w:p w14:paraId="6628CBA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Temporal Limitations: The research dataset only covers transaction records from 2009 to 2011, with a relatively limited time span. The outbreak of the COVID-19 pandemic in 2020 has brought profound and lasting changes to people’s online shopping habits, consumption behaviors and retail industry patterns—online shopping penetration rate has increased significantly, and customer purchase frequency and product category preferences have also changed greatly. Including more recent transaction data (after 2020) in future research can make the analysis results more in line with the current development characteristics of the UK online retail industry and improve the timeliness and practicality of the research results</w:t>
      </w:r>
    </w:p>
    <w:p w14:paraId="44C9CD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Feature Limitations: The current churn prediction model only uses three traditional RFM features for modeling and analysis, and lacks other important influencing factors that may affect customer churn behavior. For example, customer product category preferences (which types of products the customer likes to buy), marketing touchpoint data (whether the customer has received promotional push, participated in marketing activities), and customer complaint and after-sales service records. Adding these multi-dimensional features in future research can further improve the prediction accuracy of the churn model and make the customer segmentation more refined</w:t>
      </w:r>
    </w:p>
    <w:p w14:paraId="6F90621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Model Limitations: This project only uses the Random Forest algorithm to construct the churn prediction model, and does not conduct a comparative analysis with other machine learning algorithms. In future research, other classic classification algorithms (such as XGBoost, LightGBM, Logistic Regression and SVM) can be tested and compared, and hyperparameter optimization (such as grid search and random search) can be conducted for each algorithm to select the optimal model for retail customer churn prediction. In addition, the application of deep learning models (such as neural networks) in churn prediction can also be explored to adapt to more complex and high-dimensional data</w:t>
      </w:r>
    </w:p>
    <w:p w14:paraId="7A130D7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Validation Limitations: The current model only uses the simple train-test split method (7:3) for performance verification, which may have certain randomness in the evaluation results. In future research, more robust model validation methods such as k-fold cross-validation (e.g., 5-fold or 10-fold) can be adopted to evaluate the model performance, which can make full use of the dataset and make the model evaluation results more objective, stable and reliable</w:t>
      </w:r>
    </w:p>
    <w:p w14:paraId="362D74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lang w:val="en-US" w:eastAsia="zh-CN" w:bidi="ar"/>
        </w:rPr>
        <w:t>In addition to the above research improvements, future practical application work can also focus on the following aspects: first, implement the trained churn prediction model in the actual production environment of retail enterprises, realize the real-time monitoring and dynamic early warning of customer churn risk, and update the model in real time based on the latest transaction data; second, conduct A/B testing for the customer retention and marketing strategies proposed in this project in the actual market, track and evaluate the actual effect of each strategy, and continuously optimize and adjust the strategy according to the test results; third, combine the customer segmentation results with the retailer’s CRM (Customer Relationship Management) system to realize the personalized and precise management of different customer segments, and ultimately improve the overall customer retention rate and revenue level of the enterprise.</w:t>
      </w:r>
    </w:p>
    <w:p w14:paraId="7B30F4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4E1D26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 Conclusion</w:t>
      </w:r>
    </w:p>
    <w:p w14:paraId="400AE3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explored customer segmentation and churn prediction in the UK online retail sector using data mining techniques.</w:t>
      </w:r>
    </w:p>
    <w:p w14:paraId="0469E0B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results show that RFM analysis combined with K-Means clustering can be used to identify different types of customers with distinct behavioural patterns. In addition, the Random Forest model performs well in predicting customer churn, with relatively strong evaluation results.</w:t>
      </w:r>
    </w:p>
    <w:p w14:paraId="5C943E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practical point of view, these findings could be useful for businesses that want to better understand their customers and make more informed marketing decisions. For example, identifying high-risk customers earlier may help improve retention strategies.</w:t>
      </w:r>
    </w:p>
    <w:p w14:paraId="7E84BB9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there are still some limitations. The dataset only covers historical data, and customer behaviour may have changed over time. Also, the model is based on a limited number of features, which means some potentially useful information is not included.</w:t>
      </w:r>
    </w:p>
    <w:p w14:paraId="338EB354">
      <w:pPr>
        <w:pStyle w:val="9"/>
        <w:keepNext w:val="0"/>
        <w:keepLines w:val="0"/>
        <w:widowControl/>
        <w:suppressLineNumbers w:val="0"/>
        <w:rPr>
          <w:rFonts w:hint="default" w:ascii="Times New Roman" w:hAnsi="Times New Roman" w:cs="Times New Roman"/>
          <w:b w:val="0"/>
          <w:bCs/>
        </w:rPr>
      </w:pPr>
      <w:r>
        <w:rPr>
          <w:rStyle w:val="13"/>
          <w:rFonts w:hint="default" w:ascii="Times New Roman" w:hAnsi="Times New Roman" w:cs="Times New Roman"/>
          <w:b w:val="0"/>
          <w:bCs/>
        </w:rPr>
        <w:t>In future work, it might be helpful to include more recent data or additional variables to see whether the results can be improved further.</w:t>
      </w:r>
    </w:p>
    <w:p w14:paraId="5493D5A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this study shows that data-driven approaches can provide useful insights, although the results should still be interpreted with some caution in real-world applications.</w:t>
      </w:r>
    </w:p>
    <w:p w14:paraId="7595E3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p>
    <w:p w14:paraId="336B82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References</w:t>
      </w:r>
    </w:p>
    <w:p w14:paraId="004C21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Blattberg, R.C., Kim, B.D. &amp; Neslin, S.A. (2008) </w:t>
      </w:r>
      <w:r>
        <w:rPr>
          <w:rStyle w:val="14"/>
          <w:rFonts w:hint="default" w:ascii="Times New Roman" w:hAnsi="Times New Roman" w:eastAsia="宋体" w:cs="Times New Roman"/>
          <w:color w:val="000000"/>
          <w:kern w:val="0"/>
          <w:sz w:val="20"/>
          <w:szCs w:val="20"/>
          <w:lang w:val="en-US" w:eastAsia="zh-CN" w:bidi="ar"/>
        </w:rPr>
        <w:t>Database Marketing: Analyzing and Managing Customers</w:t>
      </w:r>
      <w:r>
        <w:rPr>
          <w:rFonts w:hint="default" w:ascii="Times New Roman" w:hAnsi="Times New Roman" w:eastAsia="宋体" w:cs="Times New Roman"/>
          <w:color w:val="000000"/>
          <w:kern w:val="0"/>
          <w:sz w:val="20"/>
          <w:szCs w:val="20"/>
          <w:lang w:val="en-US" w:eastAsia="zh-CN" w:bidi="ar"/>
        </w:rPr>
        <w:t xml:space="preserve">. 2nd edn. Springer, New York.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"https://link.springer.com/book/10.1007/978-0-387-72425-5"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https://link.springer.com/book/10.1007/978-0-387-72425-5</w:t>
      </w:r>
      <w:r>
        <w:rPr>
          <w:rFonts w:hint="default" w:ascii="Times New Roman" w:hAnsi="Times New Roman" w:eastAsia="宋体" w:cs="Times New Roman"/>
          <w:color w:val="0057FF"/>
          <w:kern w:val="0"/>
          <w:sz w:val="20"/>
          <w:szCs w:val="20"/>
          <w:lang w:val="en-US" w:eastAsia="zh-CN" w:bidi="ar"/>
        </w:rPr>
        <w:fldChar w:fldCharType="end"/>
      </w:r>
    </w:p>
    <w:p w14:paraId="73026D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Breiman, L. (2001) Random forests. </w:t>
      </w:r>
      <w:r>
        <w:rPr>
          <w:rStyle w:val="14"/>
          <w:rFonts w:hint="default" w:ascii="Times New Roman" w:hAnsi="Times New Roman" w:eastAsia="宋体" w:cs="Times New Roman"/>
          <w:color w:val="000000"/>
          <w:kern w:val="0"/>
          <w:sz w:val="20"/>
          <w:szCs w:val="20"/>
          <w:lang w:val="en-US" w:eastAsia="zh-CN" w:bidi="ar"/>
        </w:rPr>
        <w:t>Machine Learning</w:t>
      </w:r>
      <w:r>
        <w:rPr>
          <w:rFonts w:hint="default" w:ascii="Times New Roman" w:hAnsi="Times New Roman" w:eastAsia="宋体" w:cs="Times New Roman"/>
          <w:color w:val="000000"/>
          <w:kern w:val="0"/>
          <w:sz w:val="20"/>
          <w:szCs w:val="20"/>
          <w:lang w:val="en-US" w:eastAsia="zh-CN" w:bidi="ar"/>
        </w:rPr>
        <w:t xml:space="preserve">, 45(1), pp.5-32.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"https://link.springer.com/article/10.1023/A:1010933404324"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https://link.springer.com/article/10.1023/A:1010933404324</w:t>
      </w:r>
      <w:r>
        <w:rPr>
          <w:rFonts w:hint="default" w:ascii="Times New Roman" w:hAnsi="Times New Roman" w:eastAsia="宋体" w:cs="Times New Roman"/>
          <w:color w:val="0057FF"/>
          <w:kern w:val="0"/>
          <w:sz w:val="20"/>
          <w:szCs w:val="20"/>
          <w:lang w:val="en-US" w:eastAsia="zh-CN" w:bidi="ar"/>
        </w:rPr>
        <w:fldChar w:fldCharType="end"/>
      </w:r>
    </w:p>
    <w:p w14:paraId="71218F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Dua, D. &amp; Graff, C. (2019) </w:t>
      </w:r>
      <w:r>
        <w:rPr>
          <w:rStyle w:val="14"/>
          <w:rFonts w:hint="default" w:ascii="Times New Roman" w:hAnsi="Times New Roman" w:eastAsia="宋体" w:cs="Times New Roman"/>
          <w:color w:val="000000"/>
          <w:kern w:val="0"/>
          <w:sz w:val="20"/>
          <w:szCs w:val="20"/>
          <w:lang w:val="en-US" w:eastAsia="zh-CN" w:bidi="ar"/>
        </w:rPr>
        <w:t>UCI Machine Learning Repository</w:t>
      </w:r>
      <w:r>
        <w:rPr>
          <w:rFonts w:hint="default" w:ascii="Times New Roman" w:hAnsi="Times New Roman" w:eastAsia="宋体" w:cs="Times New Roman"/>
          <w:color w:val="000000"/>
          <w:kern w:val="0"/>
          <w:sz w:val="20"/>
          <w:szCs w:val="20"/>
          <w:lang w:val="en-US" w:eastAsia="zh-CN" w:bidi="ar"/>
        </w:rPr>
        <w:t xml:space="preserve">. University of California, Irvine. Available at: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"https://archive.ics.uci.edu/ml/datasets/Online+Retail+II"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https://archive.ics.uci.edu/ml/datasets/Online+Retail+II</w:t>
      </w:r>
      <w:r>
        <w:rPr>
          <w:rFonts w:hint="default" w:ascii="Times New Roman" w:hAnsi="Times New Roman" w:eastAsia="宋体" w:cs="Times New Roman"/>
          <w:color w:val="0057FF"/>
          <w:kern w:val="0"/>
          <w:sz w:val="20"/>
          <w:szCs w:val="20"/>
          <w:lang w:val="en-US" w:eastAsia="zh-CN" w:bidi="ar"/>
        </w:rPr>
        <w:fldChar w:fldCharType="end"/>
      </w:r>
      <w:r>
        <w:rPr>
          <w:rFonts w:hint="default" w:ascii="Times New Roman" w:hAnsi="Times New Roman" w:eastAsia="宋体" w:cs="Times New Roman"/>
          <w:color w:val="000000"/>
          <w:kern w:val="0"/>
          <w:sz w:val="20"/>
          <w:szCs w:val="20"/>
          <w:lang w:val="en-US" w:eastAsia="zh-CN" w:bidi="ar"/>
        </w:rPr>
        <w:t xml:space="preserve"> (Accessed: 15 March 2026).</w:t>
      </w:r>
    </w:p>
    <w:p w14:paraId="2026A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Han, J., Kamber, M. &amp; Pei, J. (2011) </w:t>
      </w:r>
      <w:r>
        <w:rPr>
          <w:rStyle w:val="14"/>
          <w:rFonts w:hint="default" w:ascii="Times New Roman" w:hAnsi="Times New Roman" w:eastAsia="宋体" w:cs="Times New Roman"/>
          <w:color w:val="000000"/>
          <w:kern w:val="0"/>
          <w:sz w:val="20"/>
          <w:szCs w:val="20"/>
          <w:lang w:val="en-US" w:eastAsia="zh-CN" w:bidi="ar"/>
        </w:rPr>
        <w:t>Data Mining: Concepts and Techniques</w:t>
      </w:r>
      <w:r>
        <w:rPr>
          <w:rFonts w:hint="default" w:ascii="Times New Roman" w:hAnsi="Times New Roman" w:eastAsia="宋体" w:cs="Times New Roman"/>
          <w:color w:val="000000"/>
          <w:kern w:val="0"/>
          <w:sz w:val="20"/>
          <w:szCs w:val="20"/>
          <w:lang w:val="en-US" w:eastAsia="zh-CN" w:bidi="ar"/>
        </w:rPr>
        <w:t xml:space="preserve">. 3rd edn. Morgan Kaufmann, Boston.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"https://www.elsevier.com/books/data-mining-concepts-and-techniques/han/978-0-12-381479-1"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https://www.elsevier.com/books/data-mining-concepts-and-techniques/han/978-0-12-381479-1</w:t>
      </w:r>
      <w:r>
        <w:rPr>
          <w:rFonts w:hint="default" w:ascii="Times New Roman" w:hAnsi="Times New Roman" w:eastAsia="宋体" w:cs="Times New Roman"/>
          <w:color w:val="0057FF"/>
          <w:kern w:val="0"/>
          <w:sz w:val="20"/>
          <w:szCs w:val="20"/>
          <w:lang w:val="en-US" w:eastAsia="zh-CN" w:bidi="ar"/>
        </w:rPr>
        <w:fldChar w:fldCharType="end"/>
      </w:r>
    </w:p>
    <w:p w14:paraId="32FC3D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Hughes, A.M. (1994) </w:t>
      </w:r>
      <w:r>
        <w:rPr>
          <w:rStyle w:val="14"/>
          <w:rFonts w:hint="default" w:ascii="Times New Roman" w:hAnsi="Times New Roman" w:eastAsia="宋体" w:cs="Times New Roman"/>
          <w:color w:val="000000"/>
          <w:kern w:val="0"/>
          <w:sz w:val="20"/>
          <w:szCs w:val="20"/>
          <w:lang w:val="en-US" w:eastAsia="zh-CN" w:bidi="ar"/>
        </w:rPr>
        <w:t>Strategic Database Marketing</w:t>
      </w:r>
      <w:r>
        <w:rPr>
          <w:rFonts w:hint="default" w:ascii="Times New Roman" w:hAnsi="Times New Roman" w:eastAsia="宋体" w:cs="Times New Roman"/>
          <w:color w:val="000000"/>
          <w:kern w:val="0"/>
          <w:sz w:val="20"/>
          <w:szCs w:val="20"/>
          <w:lang w:val="en-US" w:eastAsia="zh-CN" w:bidi="ar"/>
        </w:rPr>
        <w:t xml:space="preserve">. McGraw-Hill, New York.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"https://www.amazon.co.uk/Strategic-Database-Marketing-Arthur-Hughes/dp/007031031X"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https://www.amazon.co.uk/Strategic-Database-Marketing-Arthur-Hughes/dp/007031031X</w:t>
      </w:r>
      <w:r>
        <w:rPr>
          <w:rFonts w:hint="default" w:ascii="Times New Roman" w:hAnsi="Times New Roman" w:eastAsia="宋体" w:cs="Times New Roman"/>
          <w:color w:val="0057FF"/>
          <w:kern w:val="0"/>
          <w:sz w:val="20"/>
          <w:szCs w:val="20"/>
          <w:lang w:val="en-US" w:eastAsia="zh-CN" w:bidi="ar"/>
        </w:rPr>
        <w:fldChar w:fldCharType="end"/>
      </w:r>
    </w:p>
    <w:p w14:paraId="2ADC22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Kotler, P. &amp; Keller, K.L. (2016) </w:t>
      </w:r>
      <w:r>
        <w:rPr>
          <w:rStyle w:val="14"/>
          <w:rFonts w:hint="default" w:ascii="Times New Roman" w:hAnsi="Times New Roman" w:eastAsia="宋体" w:cs="Times New Roman"/>
          <w:color w:val="000000"/>
          <w:kern w:val="0"/>
          <w:sz w:val="20"/>
          <w:szCs w:val="20"/>
          <w:lang w:val="en-US" w:eastAsia="zh-CN" w:bidi="ar"/>
        </w:rPr>
        <w:t>Marketing Management</w:t>
      </w:r>
      <w:r>
        <w:rPr>
          <w:rFonts w:hint="default" w:ascii="Times New Roman" w:hAnsi="Times New Roman" w:eastAsia="宋体" w:cs="Times New Roman"/>
          <w:color w:val="000000"/>
          <w:kern w:val="0"/>
          <w:sz w:val="20"/>
          <w:szCs w:val="20"/>
          <w:lang w:val="en-US" w:eastAsia="zh-CN" w:bidi="ar"/>
        </w:rPr>
        <w:t xml:space="preserve">. 15th edn. Pearson, Upper Saddle River.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"https://www.pearson.com/uk/educators/higher-education/subjects/business/marketing/marketing-management-15e-kotler-keller.html"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https://www.pearson.com/uk/educators/higher-education/subjects/business/marketing/marketing-management-15e-kotler-keller.html</w:t>
      </w:r>
      <w:r>
        <w:rPr>
          <w:rFonts w:hint="default" w:ascii="Times New Roman" w:hAnsi="Times New Roman" w:eastAsia="宋体" w:cs="Times New Roman"/>
          <w:color w:val="0057FF"/>
          <w:kern w:val="0"/>
          <w:sz w:val="20"/>
          <w:szCs w:val="20"/>
          <w:lang w:val="en-US" w:eastAsia="zh-CN" w:bidi="ar"/>
        </w:rPr>
        <w:fldChar w:fldCharType="end"/>
      </w:r>
    </w:p>
    <w:p w14:paraId="49621F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MacQueen, J.B. (1967) Some methods for classification and analysis of multivariate observations. In: </w:t>
      </w:r>
      <w:r>
        <w:rPr>
          <w:rStyle w:val="14"/>
          <w:rFonts w:hint="default" w:ascii="Times New Roman" w:hAnsi="Times New Roman" w:eastAsia="宋体" w:cs="Times New Roman"/>
          <w:color w:val="000000"/>
          <w:kern w:val="0"/>
          <w:sz w:val="20"/>
          <w:szCs w:val="20"/>
          <w:lang w:val="en-US" w:eastAsia="zh-CN" w:bidi="ar"/>
        </w:rPr>
        <w:t>Proceedings of the Fifth Berkeley Symposium on Mathematical Statistics and Probability</w:t>
      </w:r>
      <w:r>
        <w:rPr>
          <w:rFonts w:hint="default" w:ascii="Times New Roman" w:hAnsi="Times New Roman" w:eastAsia="宋体" w:cs="Times New Roman"/>
          <w:color w:val="000000"/>
          <w:kern w:val="0"/>
          <w:sz w:val="20"/>
          <w:szCs w:val="20"/>
          <w:lang w:val="en-US" w:eastAsia="zh-CN" w:bidi="ar"/>
        </w:rPr>
        <w:t xml:space="preserve">. University of California Press, Berkeley, pp.281-297.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"https://projecteuclid.org/euclid.bsmsp/1200512992"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https://projecteuclid.org/euclid.bsmsp/1200512992</w:t>
      </w:r>
      <w:r>
        <w:rPr>
          <w:rFonts w:hint="default" w:ascii="Times New Roman" w:hAnsi="Times New Roman" w:eastAsia="宋体" w:cs="Times New Roman"/>
          <w:color w:val="0057FF"/>
          <w:kern w:val="0"/>
          <w:sz w:val="20"/>
          <w:szCs w:val="20"/>
          <w:lang w:val="en-US" w:eastAsia="zh-CN" w:bidi="ar"/>
        </w:rPr>
        <w:fldChar w:fldCharType="end"/>
      </w:r>
    </w:p>
    <w:p w14:paraId="01DCA3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Mashlyn (2026) </w:t>
      </w:r>
      <w:r>
        <w:rPr>
          <w:rStyle w:val="14"/>
          <w:rFonts w:hint="default" w:ascii="Times New Roman" w:hAnsi="Times New Roman" w:eastAsia="宋体" w:cs="Times New Roman"/>
          <w:color w:val="000000"/>
          <w:kern w:val="0"/>
          <w:sz w:val="20"/>
          <w:szCs w:val="20"/>
          <w:lang w:val="en-US" w:eastAsia="zh-CN" w:bidi="ar"/>
        </w:rPr>
        <w:t>Online Retail II UCI</w:t>
      </w:r>
      <w:r>
        <w:rPr>
          <w:rFonts w:hint="default" w:ascii="Times New Roman" w:hAnsi="Times New Roman" w:eastAsia="宋体" w:cs="Times New Roman"/>
          <w:color w:val="000000"/>
          <w:kern w:val="0"/>
          <w:sz w:val="20"/>
          <w:szCs w:val="20"/>
          <w:lang w:val="en-US" w:eastAsia="zh-CN" w:bidi="ar"/>
        </w:rPr>
        <w:t xml:space="preserve">. Kaggle. Available at: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"https://www.kaggle.com/datasets/mashlyn/online-retail-ii-uci"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https://www.kaggle.com/datasets/mashlyn/online-retail-ii-uci</w:t>
      </w:r>
      <w:r>
        <w:rPr>
          <w:rFonts w:hint="default" w:ascii="Times New Roman" w:hAnsi="Times New Roman" w:eastAsia="宋体" w:cs="Times New Roman"/>
          <w:color w:val="0057FF"/>
          <w:kern w:val="0"/>
          <w:sz w:val="20"/>
          <w:szCs w:val="20"/>
          <w:lang w:val="en-US" w:eastAsia="zh-CN" w:bidi="ar"/>
        </w:rPr>
        <w:fldChar w:fldCharType="end"/>
      </w:r>
      <w:r>
        <w:rPr>
          <w:rFonts w:hint="default" w:ascii="Times New Roman" w:hAnsi="Times New Roman" w:eastAsia="宋体" w:cs="Times New Roman"/>
          <w:color w:val="000000"/>
          <w:kern w:val="0"/>
          <w:sz w:val="20"/>
          <w:szCs w:val="20"/>
          <w:lang w:val="en-US" w:eastAsia="zh-CN" w:bidi="ar"/>
        </w:rPr>
        <w:t xml:space="preserve"> (Accessed: 21 March 2026).</w:t>
      </w:r>
    </w:p>
    <w:p w14:paraId="1E445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Office for National Statistics (2022) </w:t>
      </w:r>
      <w:r>
        <w:rPr>
          <w:rStyle w:val="14"/>
          <w:rFonts w:hint="default" w:ascii="Times New Roman" w:hAnsi="Times New Roman" w:eastAsia="宋体" w:cs="Times New Roman"/>
          <w:color w:val="000000"/>
          <w:kern w:val="0"/>
          <w:sz w:val="20"/>
          <w:szCs w:val="20"/>
          <w:lang w:val="en-US" w:eastAsia="zh-CN" w:bidi="ar"/>
        </w:rPr>
        <w:t>Retail sales: December 2021</w:t>
      </w:r>
      <w:r>
        <w:rPr>
          <w:rFonts w:hint="default" w:ascii="Times New Roman" w:hAnsi="Times New Roman" w:eastAsia="宋体" w:cs="Times New Roman"/>
          <w:color w:val="000000"/>
          <w:kern w:val="0"/>
          <w:sz w:val="20"/>
          <w:szCs w:val="20"/>
          <w:lang w:val="en-US" w:eastAsia="zh-CN" w:bidi="ar"/>
        </w:rPr>
        <w:t xml:space="preserve">. Available at: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"https://www.ons.gov.uk/businessindustryandtrade/retailindustry/bulletins/retailsales/december2021"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https://www.ons.gov.uk/businessindustryandtrade/retailindustry/bulletins/retailsales/december2021</w:t>
      </w:r>
      <w:r>
        <w:rPr>
          <w:rFonts w:hint="default" w:ascii="Times New Roman" w:hAnsi="Times New Roman" w:eastAsia="宋体" w:cs="Times New Roman"/>
          <w:color w:val="0057FF"/>
          <w:kern w:val="0"/>
          <w:sz w:val="20"/>
          <w:szCs w:val="20"/>
          <w:lang w:val="en-US" w:eastAsia="zh-CN" w:bidi="ar"/>
        </w:rPr>
        <w:fldChar w:fldCharType="end"/>
      </w:r>
      <w:r>
        <w:rPr>
          <w:rFonts w:hint="default" w:ascii="Times New Roman" w:hAnsi="Times New Roman" w:eastAsia="宋体" w:cs="Times New Roman"/>
          <w:color w:val="000000"/>
          <w:kern w:val="0"/>
          <w:sz w:val="20"/>
          <w:szCs w:val="20"/>
          <w:lang w:val="en-US" w:eastAsia="zh-CN" w:bidi="ar"/>
        </w:rPr>
        <w:t xml:space="preserve"> (Accessed: 10 March 2026).</w:t>
      </w:r>
    </w:p>
    <w:p w14:paraId="5680B8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Peelen, E. &amp; Beltman, R. (2013) </w:t>
      </w:r>
      <w:r>
        <w:rPr>
          <w:rStyle w:val="14"/>
          <w:rFonts w:hint="default" w:ascii="Times New Roman" w:hAnsi="Times New Roman" w:eastAsia="宋体" w:cs="Times New Roman"/>
          <w:color w:val="000000"/>
          <w:kern w:val="0"/>
          <w:sz w:val="20"/>
          <w:szCs w:val="20"/>
          <w:lang w:val="en-US" w:eastAsia="zh-CN" w:bidi="ar"/>
        </w:rPr>
        <w:t>Customer Relationship Management</w:t>
      </w:r>
      <w:r>
        <w:rPr>
          <w:rFonts w:hint="default" w:ascii="Times New Roman" w:hAnsi="Times New Roman" w:eastAsia="宋体" w:cs="Times New Roman"/>
          <w:color w:val="000000"/>
          <w:kern w:val="0"/>
          <w:sz w:val="20"/>
          <w:szCs w:val="20"/>
          <w:lang w:val="en-US" w:eastAsia="zh-CN" w:bidi="ar"/>
        </w:rPr>
        <w:t xml:space="preserve">. Pearson, Harlow.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"https://www.pearson.com/uk/educators/higher-education/subjects/business/marketing/customer-relationship-management-3e.html"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https://www.pearson.com/uk/educators/higher-education/subjects/business/marketing/customer-relationship-management-3e.html</w:t>
      </w:r>
      <w:r>
        <w:rPr>
          <w:rFonts w:hint="default" w:ascii="Times New Roman" w:hAnsi="Times New Roman" w:eastAsia="宋体" w:cs="Times New Roman"/>
          <w:color w:val="0057FF"/>
          <w:kern w:val="0"/>
          <w:sz w:val="20"/>
          <w:szCs w:val="20"/>
          <w:lang w:val="en-US" w:eastAsia="zh-CN" w:bidi="ar"/>
        </w:rPr>
        <w:fldChar w:fldCharType="end"/>
      </w:r>
      <w:r>
        <w:rPr>
          <w:rFonts w:hint="default" w:ascii="Times New Roman" w:hAnsi="Times New Roman" w:eastAsia="宋体" w:cs="Times New Roman"/>
          <w:color w:val="000000"/>
          <w:kern w:val="0"/>
          <w:sz w:val="20"/>
          <w:szCs w:val="20"/>
          <w:lang w:val="en-US" w:eastAsia="zh-CN" w:bidi="ar"/>
        </w:rPr>
        <w:t xml:space="preserve"> (Accessed: 21 March 2026).</w:t>
      </w:r>
    </w:p>
    <w:p w14:paraId="55E8A4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Reichheld, F.F. (2020) </w:t>
      </w:r>
      <w:r>
        <w:rPr>
          <w:rStyle w:val="14"/>
          <w:rFonts w:hint="default" w:ascii="Times New Roman" w:hAnsi="Times New Roman" w:eastAsia="宋体" w:cs="Times New Roman"/>
          <w:color w:val="000000"/>
          <w:kern w:val="0"/>
          <w:sz w:val="20"/>
          <w:szCs w:val="20"/>
          <w:lang w:val="en-US" w:eastAsia="zh-CN" w:bidi="ar"/>
        </w:rPr>
        <w:t>The loyalty effect: The hidden force behind growth, profits, and lasting value</w:t>
      </w:r>
      <w:r>
        <w:rPr>
          <w:rFonts w:hint="default" w:ascii="Times New Roman" w:hAnsi="Times New Roman" w:eastAsia="宋体" w:cs="Times New Roman"/>
          <w:color w:val="000000"/>
          <w:kern w:val="0"/>
          <w:sz w:val="20"/>
          <w:szCs w:val="20"/>
          <w:lang w:val="en-US" w:eastAsia="zh-CN" w:bidi="ar"/>
        </w:rPr>
        <w:t xml:space="preserve">. Harvard Business Review Press, Boston.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"https://hbr.org/product/the-loyalty-effect-the-hidden-force-behind-growth-profits-and-lasting-value/9460X"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https://hbr.org/product/the-loyalty-effect-the-hidden-force-behind-growth-profits-and-lasting-value/9460X</w:t>
      </w:r>
      <w:r>
        <w:rPr>
          <w:rFonts w:hint="default" w:ascii="Times New Roman" w:hAnsi="Times New Roman" w:eastAsia="宋体" w:cs="Times New Roman"/>
          <w:color w:val="0057FF"/>
          <w:kern w:val="0"/>
          <w:sz w:val="20"/>
          <w:szCs w:val="20"/>
          <w:lang w:val="en-US" w:eastAsia="zh-CN" w:bidi="ar"/>
        </w:rPr>
        <w:fldChar w:fldCharType="end"/>
      </w:r>
    </w:p>
    <w:p w14:paraId="14AD1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Tsai, C.F. &amp; Chen, Y.C. (2020) Customer churn prediction using machine learning techniques: A systematic review. </w:t>
      </w:r>
      <w:r>
        <w:rPr>
          <w:rStyle w:val="14"/>
          <w:rFonts w:hint="default" w:ascii="Times New Roman" w:hAnsi="Times New Roman" w:eastAsia="宋体" w:cs="Times New Roman"/>
          <w:color w:val="000000"/>
          <w:kern w:val="0"/>
          <w:sz w:val="20"/>
          <w:szCs w:val="20"/>
          <w:lang w:val="en-US" w:eastAsia="zh-CN" w:bidi="ar"/>
        </w:rPr>
        <w:t>Applied Soft Computing</w:t>
      </w:r>
      <w:r>
        <w:rPr>
          <w:rFonts w:hint="default" w:ascii="Times New Roman" w:hAnsi="Times New Roman" w:eastAsia="宋体" w:cs="Times New Roman"/>
          <w:color w:val="000000"/>
          <w:kern w:val="0"/>
          <w:sz w:val="20"/>
          <w:szCs w:val="20"/>
          <w:lang w:val="en-US" w:eastAsia="zh-CN" w:bidi="ar"/>
        </w:rPr>
        <w:t xml:space="preserve">, 87, p.105959.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"https://www.sciencedirect.com/science/article/pii/S1568494619307760"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https://www.sciencedirect.com/science/article/pii/S1568494619307760</w:t>
      </w:r>
      <w:r>
        <w:rPr>
          <w:rFonts w:hint="default" w:ascii="Times New Roman" w:hAnsi="Times New Roman" w:eastAsia="宋体" w:cs="Times New Roman"/>
          <w:color w:val="0057FF"/>
          <w:kern w:val="0"/>
          <w:sz w:val="20"/>
          <w:szCs w:val="20"/>
          <w:lang w:val="en-US" w:eastAsia="zh-CN" w:bidi="ar"/>
        </w:rPr>
        <w:fldChar w:fldCharType="end"/>
      </w:r>
    </w:p>
    <w:p w14:paraId="7997DC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UK Government (2018) </w:t>
      </w:r>
      <w:r>
        <w:rPr>
          <w:rStyle w:val="14"/>
          <w:rFonts w:hint="default" w:ascii="Times New Roman" w:hAnsi="Times New Roman" w:eastAsia="宋体" w:cs="Times New Roman"/>
          <w:color w:val="000000"/>
          <w:kern w:val="0"/>
          <w:sz w:val="20"/>
          <w:szCs w:val="20"/>
          <w:lang w:val="en-US" w:eastAsia="zh-CN" w:bidi="ar"/>
        </w:rPr>
        <w:t>Data Protection Act 2018</w:t>
      </w:r>
      <w:r>
        <w:rPr>
          <w:rFonts w:hint="default" w:ascii="Times New Roman" w:hAnsi="Times New Roman" w:eastAsia="宋体" w:cs="Times New Roman"/>
          <w:color w:val="000000"/>
          <w:kern w:val="0"/>
          <w:sz w:val="20"/>
          <w:szCs w:val="20"/>
          <w:lang w:val="en-US" w:eastAsia="zh-CN" w:bidi="ar"/>
        </w:rPr>
        <w:t xml:space="preserve">. London: The Stationery Office.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"https://www.legislation.gov.uk/ukpga/2018/12/contents"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https://www.legislation.gov.uk/ukpga/2018/12/contents</w:t>
      </w:r>
      <w:r>
        <w:rPr>
          <w:rFonts w:hint="default" w:ascii="Times New Roman" w:hAnsi="Times New Roman" w:eastAsia="宋体" w:cs="Times New Roman"/>
          <w:color w:val="0057FF"/>
          <w:kern w:val="0"/>
          <w:sz w:val="20"/>
          <w:szCs w:val="20"/>
          <w:lang w:val="en-US" w:eastAsia="zh-CN" w:bidi="ar"/>
        </w:rPr>
        <w:fldChar w:fldCharType="end"/>
      </w:r>
    </w:p>
    <w:p w14:paraId="3BFF0F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UWE Bristol (2025) </w:t>
      </w:r>
      <w:r>
        <w:rPr>
          <w:rStyle w:val="14"/>
          <w:rFonts w:hint="default" w:ascii="Times New Roman" w:hAnsi="Times New Roman" w:eastAsia="宋体" w:cs="Times New Roman"/>
          <w:color w:val="000000"/>
          <w:kern w:val="0"/>
          <w:sz w:val="20"/>
          <w:szCs w:val="20"/>
          <w:lang w:val="en-US" w:eastAsia="zh-CN" w:bidi="ar"/>
        </w:rPr>
        <w:t>UFCFMM Assessment Brief</w:t>
      </w:r>
      <w:r>
        <w:rPr>
          <w:rFonts w:hint="default" w:ascii="Times New Roman" w:hAnsi="Times New Roman" w:eastAsia="宋体" w:cs="Times New Roman"/>
          <w:color w:val="000000"/>
          <w:kern w:val="0"/>
          <w:sz w:val="20"/>
          <w:szCs w:val="20"/>
          <w:lang w:val="en-US" w:eastAsia="zh-CN" w:bidi="ar"/>
        </w:rPr>
        <w:t xml:space="preserve">. University of the West of England, Bristol.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"https://www1.uwe.ac.uk/students/courses/module.aspx?code=UFCFMM"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https://www1.uwe.ac.uk/students/courses/module.aspx?code=UFCFMM</w:t>
      </w:r>
      <w:r>
        <w:rPr>
          <w:rFonts w:hint="default" w:ascii="Times New Roman" w:hAnsi="Times New Roman" w:eastAsia="宋体" w:cs="Times New Roman"/>
          <w:color w:val="0057FF"/>
          <w:kern w:val="0"/>
          <w:sz w:val="20"/>
          <w:szCs w:val="20"/>
          <w:lang w:val="en-US" w:eastAsia="zh-CN" w:bidi="ar"/>
        </w:rPr>
        <w:fldChar w:fldCharType="end"/>
      </w:r>
      <w:r>
        <w:rPr>
          <w:rFonts w:hint="default" w:ascii="Times New Roman" w:hAnsi="Times New Roman" w:eastAsia="宋体" w:cs="Times New Roman"/>
          <w:color w:val="000000"/>
          <w:kern w:val="0"/>
          <w:sz w:val="20"/>
          <w:szCs w:val="20"/>
          <w:lang w:val="en-US" w:eastAsia="zh-CN" w:bidi="ar"/>
        </w:rPr>
        <w:t xml:space="preserve"> (Accessed: 21 March 2026).</w:t>
      </w:r>
    </w:p>
    <w:p w14:paraId="14B21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0"/>
          <w:szCs w:val="20"/>
        </w:rPr>
      </w:pPr>
      <w:r>
        <w:rPr>
          <w:rFonts w:hint="default" w:ascii="Times New Roman" w:hAnsi="Times New Roman" w:eastAsia="宋体" w:cs="Times New Roman"/>
          <w:color w:val="000000"/>
          <w:kern w:val="0"/>
          <w:sz w:val="20"/>
          <w:szCs w:val="20"/>
          <w:lang w:val="en-US" w:eastAsia="zh-CN" w:bidi="ar"/>
        </w:rPr>
        <w:t xml:space="preserve">Verbeke, W., Baesens, B. &amp; Martens, D. (2014) Churn prediction in subscription services: A machine learning approach. </w:t>
      </w:r>
      <w:r>
        <w:rPr>
          <w:rStyle w:val="14"/>
          <w:rFonts w:hint="default" w:ascii="Times New Roman" w:hAnsi="Times New Roman" w:eastAsia="宋体" w:cs="Times New Roman"/>
          <w:color w:val="000000"/>
          <w:kern w:val="0"/>
          <w:sz w:val="20"/>
          <w:szCs w:val="20"/>
          <w:lang w:val="en-US" w:eastAsia="zh-CN" w:bidi="ar"/>
        </w:rPr>
        <w:t>Expert Systems with Applications</w:t>
      </w:r>
      <w:r>
        <w:rPr>
          <w:rFonts w:hint="default" w:ascii="Times New Roman" w:hAnsi="Times New Roman" w:eastAsia="宋体" w:cs="Times New Roman"/>
          <w:color w:val="000000"/>
          <w:kern w:val="0"/>
          <w:sz w:val="20"/>
          <w:szCs w:val="20"/>
          <w:lang w:val="en-US" w:eastAsia="zh-CN" w:bidi="ar"/>
        </w:rPr>
        <w:t xml:space="preserve">, 41(10), pp.4626-4636. </w:t>
      </w:r>
      <w:r>
        <w:rPr>
          <w:rFonts w:hint="default" w:ascii="Times New Roman" w:hAnsi="Times New Roman" w:eastAsia="宋体" w:cs="Times New Roman"/>
          <w:color w:val="0057FF"/>
          <w:kern w:val="0"/>
          <w:sz w:val="20"/>
          <w:szCs w:val="20"/>
          <w:lang w:val="en-US" w:eastAsia="zh-CN" w:bidi="ar"/>
        </w:rPr>
        <w:fldChar w:fldCharType="begin"/>
      </w:r>
      <w:r>
        <w:rPr>
          <w:rFonts w:hint="default" w:ascii="Times New Roman" w:hAnsi="Times New Roman" w:eastAsia="宋体" w:cs="Times New Roman"/>
          <w:color w:val="0057FF"/>
          <w:kern w:val="0"/>
          <w:sz w:val="20"/>
          <w:szCs w:val="20"/>
          <w:lang w:val="en-US" w:eastAsia="zh-CN" w:bidi="ar"/>
        </w:rPr>
        <w:instrText xml:space="preserve"> HYPERLINK "https://doi.org/10.1016/j.eswa.2013.11.032" \t "_blank" </w:instrText>
      </w:r>
      <w:r>
        <w:rPr>
          <w:rFonts w:hint="default" w:ascii="Times New Roman" w:hAnsi="Times New Roman" w:eastAsia="宋体" w:cs="Times New Roman"/>
          <w:color w:val="0057FF"/>
          <w:kern w:val="0"/>
          <w:sz w:val="20"/>
          <w:szCs w:val="20"/>
          <w:lang w:val="en-US" w:eastAsia="zh-CN" w:bidi="ar"/>
        </w:rPr>
        <w:fldChar w:fldCharType="separate"/>
      </w:r>
      <w:r>
        <w:rPr>
          <w:rStyle w:val="15"/>
          <w:rFonts w:hint="default" w:ascii="Times New Roman" w:hAnsi="Times New Roman" w:eastAsia="宋体" w:cs="Times New Roman"/>
          <w:color w:val="0057FF"/>
          <w:sz w:val="20"/>
          <w:szCs w:val="20"/>
        </w:rPr>
        <w:t>https://doi.org/10.1016/j.eswa.2013.11.032</w:t>
      </w:r>
      <w:r>
        <w:rPr>
          <w:rFonts w:hint="default" w:ascii="Times New Roman" w:hAnsi="Times New Roman" w:eastAsia="宋体" w:cs="Times New Roman"/>
          <w:color w:val="0057FF"/>
          <w:kern w:val="0"/>
          <w:sz w:val="20"/>
          <w:szCs w:val="20"/>
          <w:lang w:val="en-US" w:eastAsia="zh-CN" w:bidi="ar"/>
        </w:rPr>
        <w:fldChar w:fldCharType="end"/>
      </w:r>
      <w:r>
        <w:rPr>
          <w:rFonts w:hint="default" w:ascii="Times New Roman" w:hAnsi="Times New Roman" w:eastAsia="宋体" w:cs="Times New Roman"/>
          <w:color w:val="000000"/>
          <w:kern w:val="0"/>
          <w:sz w:val="20"/>
          <w:szCs w:val="20"/>
          <w:lang w:val="en-US" w:eastAsia="zh-CN" w:bidi="ar"/>
        </w:rPr>
        <w:t xml:space="preserve"> (Accessed: 21 March 2026).</w:t>
      </w:r>
    </w:p>
    <w:p w14:paraId="56FFB522">
      <w:pPr>
        <w:pStyle w:val="3"/>
      </w:pPr>
    </w:p>
    <w:p w14:paraId="584888A5">
      <w:pPr>
        <w:pStyle w:val="20"/>
        <w:pBdr>
          <w:left w:val="single" w:color="BBBFC4" w:sz="18" w:space="0"/>
        </w:pBdr>
        <w:rPr>
          <w:rFonts w:hint="default" w:ascii="Arial" w:hAnsi="Arial" w:cs="Arial"/>
          <w:b w:val="0"/>
          <w:bCs w:val="0"/>
          <w:color w:val="000000" w:themeColor="text1"/>
          <w:sz w:val="22"/>
          <w:szCs w:val="22"/>
          <w:shd w:val="clear" w:color="auto" w:fill="auto"/>
          <w14:textFill>
            <w14:solidFill>
              <w14:schemeClr w14:val="tx1"/>
            </w14:solidFill>
          </w14:textFill>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3D1CB"/>
    <w:multiLevelType w:val="multilevel"/>
    <w:tmpl w:val="03A3D1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F1DC3AC"/>
    <w:multiLevelType w:val="multilevel"/>
    <w:tmpl w:val="1F1DC3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F78E13A"/>
    <w:multiLevelType w:val="multilevel"/>
    <w:tmpl w:val="1F78E1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785152F"/>
    <w:rsid w:val="2C196794"/>
    <w:rsid w:val="3EBB113F"/>
    <w:rsid w:val="65EA7815"/>
    <w:rsid w:val="65ED78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pPr>
      <w:spacing w:before="480" w:after="480" w:line="288" w:lineRule="auto"/>
      <w:ind w:left="0"/>
    </w:pPr>
    <w:rPr>
      <w:rFonts w:ascii="Arial" w:hAnsi="Arial" w:eastAsia="等线" w:cs="Arial"/>
      <w:b/>
      <w:bCs/>
      <w:sz w:val="52"/>
      <w:szCs w:val="52"/>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8"/>
    <w:semiHidden/>
    <w:unhideWhenUsed/>
    <w:qFormat/>
    <w:uiPriority w:val="99"/>
    <w:rPr>
      <w:sz w:val="20"/>
      <w:szCs w:val="20"/>
    </w:rPr>
  </w:style>
  <w:style w:type="paragraph" w:customStyle="1" w:styleId="19">
    <w:name w:val="_Style 13"/>
    <w:uiPriority w:val="0"/>
    <w:pPr>
      <w:spacing w:before="120" w:after="120" w:line="288" w:lineRule="auto"/>
      <w:ind w:left="0"/>
      <w:jc w:val="left"/>
    </w:pPr>
    <w:rPr>
      <w:rFonts w:ascii="Arial" w:hAnsi="Arial" w:eastAsia="等线" w:cs="Arial"/>
      <w:sz w:val="22"/>
      <w:szCs w:val="22"/>
    </w:rPr>
  </w:style>
  <w:style w:type="paragraph" w:customStyle="1" w:styleId="20">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4944</Words>
  <Characters>30350</Characters>
  <TotalTime>40</TotalTime>
  <ScaleCrop>false</ScaleCrop>
  <LinksUpToDate>false</LinksUpToDate>
  <CharactersWithSpaces>35122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2026-03-20T17:15:00Z</dcterms:created>
  <dc:creator>Un-named</dc:creator>
  <cp:lastModifiedBy>听落霂的尾音</cp:lastModifiedBy>
  <dcterms:modified xsi:type="dcterms:W3CDTF">2026-03-29T13:19:02Z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eyJoZGlkIjoiNjRkNGViNTcyNzYzY2Q0MTA4MDQ1MDVhZDljMjBjMTkiLCJ1c2VySWQiOiI5MjI2Njk3NzcifQ==</vt:lpwstr>
  </property>
  <property fmtid="{D5CDD505-2E9C-101B-9397-08002B2CF9AE}" pid="3" name="KSOProductBuildVer">
    <vt:lpwstr>2052-12.1.0.25225</vt:lpwstr>
  </property>
  <property fmtid="{D5CDD505-2E9C-101B-9397-08002B2CF9AE}" pid="4" name="ICV">
    <vt:lpwstr>711EFE54950E4410BFFB48041B381F2D_12</vt:lpwstr>
  </property>
</Properties>
</file>