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120" w:line="480" w:lineRule="auto"/>
        <w:ind w:left="0" w:firstLine="0"/>
        <w:jc w:val="left"/>
        <w:rPr>
          <w:b w:val="1"/>
          <w:bCs w:val="1"/>
        </w:rPr>
      </w:pPr>
      <w:r w:rsidDel="00000000" w:rsidR="00000000" w:rsidRPr="00000000">
        <w:rPr>
          <w:b w:val="1"/>
          <w:bCs w:val="1"/>
          <w:rtl w:val="0"/>
        </w:rPr>
        <w:t xml:space="preserve">Transferencia Pavloviano-instrumental general </w:t>
      </w:r>
      <w:r w:rsidDel="00000000" w:rsidR="00000000" w:rsidRPr="00000000">
        <w:rPr>
          <w:b w:val="1"/>
          <w:bCs w:val="1"/>
          <w:rtl w:val="0"/>
        </w:rPr>
        <w:t xml:space="preserve">en el consumo de drogas en seres humanos</w:t>
      </w:r>
    </w:p>
    <w:p w:rsidR="00000000" w:rsidDel="00000000" w:rsidP="00000000" w:rsidRDefault="00000000" w:rsidRPr="00000000" w14:paraId="00000002">
      <w:pPr>
        <w:pStyle w:val="Heading1"/>
        <w:spacing w:after="120" w:lineRule="auto"/>
        <w:ind w:firstLine="0"/>
        <w:jc w:val="center"/>
        <w:rPr/>
      </w:pPr>
      <w:bookmarkStart w:colFirst="0" w:colLast="0" w:name="_32fy1t41j3bl" w:id="0"/>
      <w:bookmarkEnd w:id="0"/>
      <w:r w:rsidDel="00000000" w:rsidR="00000000" w:rsidRPr="00000000">
        <w:rPr>
          <w:rtl w:val="0"/>
        </w:rPr>
        <w:t xml:space="preserve">Introducción</w:t>
      </w:r>
    </w:p>
    <w:p w:rsidR="00000000" w:rsidDel="00000000" w:rsidP="00000000" w:rsidRDefault="00000000" w:rsidRPr="00000000" w14:paraId="00000003">
      <w:pPr>
        <w:spacing w:after="0" w:line="480" w:lineRule="auto"/>
        <w:ind w:firstLine="720"/>
        <w:jc w:val="both"/>
        <w:rPr/>
      </w:pPr>
      <w:r w:rsidDel="00000000" w:rsidR="00000000" w:rsidRPr="00000000">
        <w:rPr>
          <w:rtl w:val="0"/>
        </w:rPr>
        <w:t xml:space="preserve">El consumo de drogas se ha abordado desde el aprendizaje asociativo como una conducta dirigida a metas que está gobernada por la obtención del efecto de la droga, el cual es un reforzador. Pero también a través de mecanismos más automáticos de toma decisión como el hábito el cual</w:t>
      </w:r>
      <w:r w:rsidDel="00000000" w:rsidR="00000000" w:rsidRPr="00000000">
        <w:rPr>
          <w:rtl w:val="0"/>
        </w:rPr>
        <w:t xml:space="preserve"> es una respuesta que se realiza relativamente automáticamente en un contexto estable (Watson, 2024). El hábito se puede definir desde una perspectiva de aprendizaje asociativo llamada de procesos duales (Rescorla &amp; Solomon, 1967): la respuesta se puede controlar por la expectativa de la consecuencia (respuesta-consecuencia o R-O) o ser gatillada por el estímulo (estímulo-respuesta o S-R). Las conductas dirigidas a meta son producto de asociaciones R-O y se producen cuando la consecuencia está disponible y es deseada, mientras que los hábitos no son sensibles a los cambios de contingencia R-O o a la devaluación de la consecuencia. Persisten incluso cuando la consecuencia ya no es deseada o cuando la respuesta no produce la consecuencia de manera confiable (Watson, 2024). Un paradigma experimental que integra tanto estímulos (S), respuestas (R), como consecuencias (O), es la Transferencia Pavloviana Instrumental (TPI), que permite estudiar los mecanismos que contribuyen a la expresión de los hábitos.</w:t>
      </w:r>
    </w:p>
    <w:p w:rsidR="00000000" w:rsidDel="00000000" w:rsidP="00000000" w:rsidRDefault="00000000" w:rsidRPr="00000000" w14:paraId="00000004">
      <w:pPr>
        <w:spacing w:after="200" w:line="480" w:lineRule="auto"/>
        <w:ind w:firstLine="720"/>
        <w:jc w:val="both"/>
        <w:rPr/>
      </w:pPr>
      <w:r w:rsidDel="00000000" w:rsidR="00000000" w:rsidRPr="00000000">
        <w:rPr>
          <w:rtl w:val="0"/>
        </w:rPr>
        <w:t xml:space="preserve">Entender el consumo de drogas desde una perspectiva psicológica asociativa es importante sobre todo debido a que esta aproximación ha sido exitosa en explicar otros fenómenos asociados al consumo, como la tolerancia y abstinencia a las drogas (Alfaro et al., 2018; González et al., 2019). </w:t>
      </w:r>
    </w:p>
    <w:p w:rsidR="00000000" w:rsidDel="00000000" w:rsidP="00000000" w:rsidRDefault="00000000" w:rsidRPr="00000000" w14:paraId="00000005">
      <w:pPr>
        <w:pStyle w:val="Heading2"/>
        <w:spacing w:after="0" w:lineRule="auto"/>
        <w:jc w:val="both"/>
        <w:rPr/>
      </w:pPr>
      <w:bookmarkStart w:colFirst="0" w:colLast="0" w:name="_ypzt0hod204t" w:id="1"/>
      <w:bookmarkEnd w:id="1"/>
      <w:r w:rsidDel="00000000" w:rsidR="00000000" w:rsidRPr="00000000">
        <w:rPr>
          <w:rtl w:val="0"/>
        </w:rPr>
        <w:t xml:space="preserve">Transferencia Pavloviano-instrumental</w:t>
      </w:r>
    </w:p>
    <w:p w:rsidR="00000000" w:rsidDel="00000000" w:rsidP="00000000" w:rsidRDefault="00000000" w:rsidRPr="00000000" w14:paraId="00000006">
      <w:pPr>
        <w:spacing w:line="480" w:lineRule="auto"/>
        <w:ind w:firstLine="720"/>
        <w:jc w:val="both"/>
        <w:rPr/>
      </w:pPr>
      <w:r w:rsidDel="00000000" w:rsidR="00000000" w:rsidRPr="00000000">
        <w:rPr>
          <w:rtl w:val="0"/>
        </w:rPr>
        <w:t xml:space="preserve">La </w:t>
      </w:r>
      <w:r w:rsidDel="00000000" w:rsidR="00000000" w:rsidRPr="00000000">
        <w:rPr>
          <w:rtl w:val="0"/>
        </w:rPr>
        <w:t xml:space="preserve">TPI consiste en dos componentes separados: el condicionamiento Pavloviano y el condicionamiento instrumental. El primero, es la asociación entre un estímulo condicionado (EC) que es un estímulo sensorial que por sí solo no provoca o elicita una respuesta visible particular. Cuando el EC se presenta junto con un estímulo que provoca una respuesta por sí solo, llamado estímulo incondicionado (EI), a lo largo de varios ensayos de pareación, el EC llega a provocar una respuesta similar. El EI puede ser, por ejemplo, comida, lo que genera satisfacción, placer, conductas de consumo, salivación, etc. Pavlov (1927) primero describió como un EC genera una respuesta condicionada (RC). Contemporáneamente, el condicionamiento Pavloviano se puede considerar como un aprendizaje de señalización (e.g., Mallea et al. 2022; Rescorla, 1988), donde el EC es a su vez una clave que señaliza el lugar y tiempo de la recompensa.  La recompensa no es necesariamente comida, también puede ser otros tipos de estímulos apetitivos, como las drogas. Distintas drogas funcionan como recompensas incluso tomando en cuenta sus distintos efectos. El condicionamiento Pavloviano se puede lograr con cafeína (Tinley et al., 2004), tabaco (Shaham et al., 1997; Troisi, 2006), alcohol (Alfaro et al., 2018; Birak et al., 2010; Murphy et al., 2006), marihuana (Kubilius et al., 2018; Ramírez et al., 2022), cocaína (Ahmed &amp; Koob, 1997; Olmstead et al., 2001), morfina (Siegel, 1975), etc. Las drogas funcionan como un EI y a su vez como una recompensa por la conducta (Alarcón &amp; Delamater, 2019; Corbit &amp; Janak, 2007), y por lo tanto se hace un elemento de interés para investigar el cómo funciona en particular en la TPI y cuáles pueden ser sus posibles diferencias con otros tipos de recompensas. Las claves asociadas a drogas demuestran una RC particular que Siegel (Larson &amp; Siegel, 1998; Siegel &amp; Larson, 1996) denominó respuestas compensatorias de los efectos de la droga, pero el placer y satisfacción que generan las drogas es una recompensa poderosa al utilizarse como un EI. Las claves de drogas, en ausencia del efecto de las drogas, provocan respuestas compensatorias por sí solas que se experimentan como síntomas de abstinencia, y entre estos síntomas está el antojo intenso por consumir más droga. Estos aspectos motivacionales pueden poner a las personas en la ocasión de generar respuestas dirigidas a metas, poniendo un componente motivacional en la conducta elicitada. La RC a estímulos apetitivos juega un papel importante en la dinámica de la conducta de búsqueda de recompensas y una perspectiva importante sobre esto es que los estímulos asociados a claves de consumo, de comida, drogas, u otra recompensa apetitiva, pueden convertirse en el solo gatillante de la búsqueda activa de la recompensa, incluso cuando no existe una necesidad real de comer u obtener el efecto de la droga, pasando de ser una acción dirigida por la representación de la recompensa a pasar a ser una conducta gobernada solamente por el EC, lo cual se denomina hábito, este tema será retomado más adelante.</w:t>
      </w:r>
    </w:p>
    <w:p w:rsidR="00000000" w:rsidDel="00000000" w:rsidP="00000000" w:rsidRDefault="00000000" w:rsidRPr="00000000" w14:paraId="00000007">
      <w:pPr>
        <w:spacing w:line="480" w:lineRule="auto"/>
        <w:ind w:firstLine="720"/>
        <w:jc w:val="both"/>
        <w:rPr/>
      </w:pPr>
      <w:r w:rsidDel="00000000" w:rsidR="00000000" w:rsidRPr="00000000">
        <w:rPr>
          <w:rtl w:val="0"/>
        </w:rPr>
        <w:t xml:space="preserve">El otro componente es el condicionamiento instrumental, que es un procedimiento de aprendizaje producto de las consecuencias de la conducta. En el condicionamiento instrumental, la respuesta es seguida de una consecuencia satisfactoria o insatisfactoria. En el caso de que la conducta resulte en la obtención de una recompensa, esta funciona como un reforzamiento entre la conducta realizada y el hecho de haber obtenido una recompensa. En cambio, si la conducta resulta en la obtención de un evento aversivo, este se vuelve un castigo. Las conductas reforzadas aumentan su probabilidad de ser realizadas en el futuro mientras que las castigadas disminuyen su probabilidad de ser realizadas (Skinner, 1928). En el caso de las recompensas apetitivas, estas pueden ser comida, y la conducta de forrajeo o búsqueda de comida sería el acto instrumental que es reforzado por la obtención de la comida. Skinner describió no solo los tipos de reforzadores y castigos sino también lo que llamó programas de reforzamiento, donde la recompensa no se otorga después de cada conducta, sino solamente, por ejemplo, cada cierto número de conductas, lo que llamó un programa de razón, o bien cada cierto tiempo que se hace una conducta, lo que llamó un programa de intervalo. Tanto la razón como el intervalo pueden variar, haciéndose relativamente impredecible. En el aprendizaje instrumental, asumimos que existe una representación de la recompensa en el sujeto que realiza la conducta. Este supuesto es importante para entender el fenómeno del TPI, ya que durante el paradigma experimental se introduce un EC que está asociado a la misma recompensa, mientras se permite al sujeto realizar libremente la conducta instrumental recompensada. El resultado esperado es que la tasa de respuesta aumenta, aun cuando el programa de reforzamiento se mantiene estable, solamente por la presencia del EC (Cartoni et al., 2016). Todo lo dicho anteriormente también es cierto cuando la recompensa es una droga. Experimentalmente, en seres humanos, el fenómeno se ha adaptado de la siguiente manera, se permite realizar una respuesta en un computador para recibir “puntos de comida” como una respuesta instrumental de apretar una tecla, y el EC asociado a comida es un estímulo que también sale en la pantalla (Manglani et al., 2017; Seabrooke et al., 2017, 2019).</w:t>
      </w:r>
    </w:p>
    <w:p w:rsidR="00000000" w:rsidDel="00000000" w:rsidP="00000000" w:rsidRDefault="00000000" w:rsidRPr="00000000" w14:paraId="00000008">
      <w:pPr>
        <w:pStyle w:val="Heading2"/>
        <w:spacing w:after="0" w:lineRule="auto"/>
        <w:rPr/>
      </w:pPr>
      <w:bookmarkStart w:colFirst="0" w:colLast="0" w:name="_9lm55milk0i" w:id="2"/>
      <w:bookmarkEnd w:id="2"/>
      <w:r w:rsidDel="00000000" w:rsidR="00000000" w:rsidRPr="00000000">
        <w:rPr>
          <w:rtl w:val="0"/>
        </w:rPr>
        <w:t xml:space="preserve">TPI general y específico</w:t>
      </w:r>
      <w:r w:rsidDel="00000000" w:rsidR="00000000" w:rsidRPr="00000000">
        <w:rPr>
          <w:rtl w:val="0"/>
        </w:rPr>
      </w:r>
    </w:p>
    <w:p w:rsidR="00000000" w:rsidDel="00000000" w:rsidP="00000000" w:rsidRDefault="00000000" w:rsidRPr="00000000" w14:paraId="00000009">
      <w:pPr>
        <w:spacing w:line="480" w:lineRule="auto"/>
        <w:ind w:firstLine="720"/>
        <w:jc w:val="both"/>
        <w:rPr/>
      </w:pPr>
      <w:r w:rsidDel="00000000" w:rsidR="00000000" w:rsidRPr="00000000">
        <w:rPr>
          <w:rtl w:val="0"/>
        </w:rPr>
        <w:t xml:space="preserve">El incremento de respuesta observado en la TPI se puede explicar debido a, al menos, dos procesos. El primero sucede cuando el EC asociado a recompensa aumenta la excitación (arousal) en general y al estar presente, el organismo se siente más motivado en general a realizar respuestas, pero esto no discrimina en el tipo de respuesta </w:t>
      </w:r>
      <w:r w:rsidDel="00000000" w:rsidR="00000000" w:rsidRPr="00000000">
        <w:rPr>
          <w:rtl w:val="0"/>
        </w:rPr>
        <w:t xml:space="preserve">(Rescorla &amp; Solomon, 1967)</w:t>
      </w:r>
      <w:r w:rsidDel="00000000" w:rsidR="00000000" w:rsidRPr="00000000">
        <w:rPr>
          <w:rtl w:val="0"/>
        </w:rPr>
        <w:t xml:space="preserve">. El segundo proceso, se refiere a que la presencia de un EC puede activar una representación específica de la recompensa cuando está presente, llevando a producir un antojo específico de la recompensa a la que está asociada, y en este caso aumenta la respuesta que lleva a obtener solamente esa recompensa en particular. Esta diferencia es importante para entender cómo las claves Pavlovianas interactúan con el condicionamiento instrumental al establecer respuesta de búsqueda de recompensas y también para entender el comportamiento cuando está involucrado el consumo de drogas. Al teorizar sobre el control que ejerce el EC asociado a drogas sobre la conducta instrumental, podemos asumir que el EC genera un control más intenso sobre las acciones que la comida, favoreciendo la generalización de la motivación de conductas instrumentales hacia otras recompensas distintas de las drogas. Por otro lado, podemos asumir que el EC asociado a droga ejerce una influencia intensa, específica y selectiva debido a la conducta del adicto de enfocar gran parte de sus recursos conductuales en la obtención y consumo de una droga en particular.</w:t>
      </w:r>
    </w:p>
    <w:p w:rsidR="00000000" w:rsidDel="00000000" w:rsidP="00000000" w:rsidRDefault="00000000" w:rsidRPr="00000000" w14:paraId="0000000A">
      <w:pPr>
        <w:spacing w:line="480" w:lineRule="auto"/>
        <w:ind w:firstLine="720"/>
        <w:jc w:val="both"/>
        <w:rPr/>
      </w:pPr>
      <w:r w:rsidDel="00000000" w:rsidR="00000000" w:rsidRPr="00000000">
        <w:rPr>
          <w:rtl w:val="0"/>
        </w:rPr>
        <w:t xml:space="preserve">Una forma de diferenciar entre los dos procesos es probar el EC asociado a una recompensa en la respuesta instrumental que está siendo recompensada con algo distinto, durante la TPI</w:t>
      </w:r>
      <w:r w:rsidDel="00000000" w:rsidR="00000000" w:rsidRPr="00000000">
        <w:rPr>
          <w:rtl w:val="0"/>
        </w:rPr>
        <w:t xml:space="preserve">. Existen, por lo tanto, dos tipos de transferencia, una específica y una general. En la transferencia específica, el EC aumenta las acciones asociadas con el mismo resultado que el EC, mientras que, en la transferencia general, el EC aumenta las acciones dirigidas a otros resultados (Corbit et al., 2007)</w:t>
      </w:r>
      <w:r w:rsidDel="00000000" w:rsidR="00000000" w:rsidRPr="00000000">
        <w:rPr>
          <w:rtl w:val="0"/>
        </w:rPr>
        <w:t xml:space="preserve">. Si el EC actúa generando conducta por una motivación general a actuar, entonces aumentará la conducta instrumental de manera general, pero si actúa por medio de activar una representación específica de la recompensa, entonces solo aumentará la respuesta instrumental que fue recompensada con el mismo resultado. Teóricamente, podemos asumir que la TPI general activa un mecanismo S-R que influye en la expresión instrumental pero sin mediar O. En la TPI específica, necesariamente media una asociación S-O, el cual influye en la respuesta.</w:t>
      </w:r>
    </w:p>
    <w:p w:rsidR="00000000" w:rsidDel="00000000" w:rsidP="00000000" w:rsidRDefault="00000000" w:rsidRPr="00000000" w14:paraId="0000000B">
      <w:pPr>
        <w:spacing w:line="480" w:lineRule="auto"/>
        <w:ind w:firstLine="720"/>
        <w:jc w:val="both"/>
        <w:rPr/>
      </w:pPr>
      <w:r w:rsidDel="00000000" w:rsidR="00000000" w:rsidRPr="00000000">
        <w:rPr>
          <w:rtl w:val="0"/>
        </w:rPr>
        <w:t xml:space="preserve">La preparación con dos palancas o con dos respuestas instrumentales permite observar la TPI específica pero no necesariamente la general. Estudios neurales en humanos y animales sugieren que el mecanismo para ambos fenómenos es distinto, ya que reclutan y activan partes distintas del cerebro (Cartoni et al., 2016)</w:t>
      </w:r>
      <w:r w:rsidDel="00000000" w:rsidR="00000000" w:rsidRPr="00000000">
        <w:rPr>
          <w:rtl w:val="0"/>
        </w:rPr>
        <w:t xml:space="preserve"> sin embargo la evidencia de mecanismos psicológicos distintos es menos clara. Uno de los paradigmas experimentales más utilizados para investigar los mecanismos de la TPI general y específica es el de la devaluación de la recompensa, donde luego de establecer ya sea un condicionamiento Pavloviano o instrumental, la recompensa es reducida en su valor de incentivo.</w:t>
      </w:r>
      <w:r w:rsidDel="00000000" w:rsidR="00000000" w:rsidRPr="00000000">
        <w:rPr>
          <w:rtl w:val="0"/>
        </w:rPr>
        <w:t xml:space="preserve"> La devaluación se ha utilizado para distinguir hábitos de acciones dirigidas a metas, ya que la respuesta instrumental disminuye cuando la recompensa es devaluada comparado con una recompensa no devaluada, pero si la respuesta se mantiene estable incluso si se devalúa la recompensa, se concluye que es más bien un hábito </w:t>
      </w:r>
      <w:r w:rsidDel="00000000" w:rsidR="00000000" w:rsidRPr="00000000">
        <w:rPr>
          <w:rtl w:val="0"/>
        </w:rPr>
        <w:t xml:space="preserve">(Pierce-Messick &amp; Corbit, 2024)</w:t>
      </w:r>
      <w:r w:rsidDel="00000000" w:rsidR="00000000" w:rsidRPr="00000000">
        <w:rPr>
          <w:rtl w:val="0"/>
        </w:rPr>
        <w:t xml:space="preserve">. En la TPI, la devaluación del EI (que al mismo tiempo es una recompensa instrumental) ayuda a distinguir entre TPI general y TPI específico. Cuando se trata de comida, esta se puede devaluar pareándola con enfermedad o comiéndola hasta la saciedad. Holland (2004) encontró que la TPI específica no se reduce cuando el EI se parea con enfermedad, pero sí la general. En una revisión del 2016, Cartoni et al., enumeraron una serie de resultados en seres humanos donde la supresión de la transferencia específica se conseguía en humanos dependiendo de la metodología utilizada. El efecto parece suceder más cuando el reforzador es primario que secundario (comida vs. dinero), pero incluso esto no es claro. Mahlberg et al. (2021) en una revisión más reciente retoma el problema de la TPI específica y general en seres humanos, enumerando varios experimentos donde la devaluación no disminuye la TPI específica y varios donde si se logra disminuir. Los autores discuten que es posible que esta variación se deba a los programas de reforzamiento utilizados, que son heterogéneos, como también a los métodos de devaluación utilizados, que posiblemente no son lo suficientemente intensos. Como sea, concluyen que la literatura se inclina más bien por la hipótesis de que los efectos de la TPI apetitiva en humanos es mayormente acción dirigida a metas, y que median pocos mecanismos automáticos o habituales cuando el EC se presenta durante la respuesta instrumental. Cuando la recompensa es una droga y a diferencia de la comida, es difícil aceptar que la presencia de EC asociados a drogas no ejerza un control más automático sobre la conducta. Recordemos el efecto de tolerancia asociativa, donde la RC ante el EC de drogas contrarresta su efecto y en la ausencia de drogas, genera síntomas de abstinencia. Si entre ellos, está el antojo de consumir droga, puede elevar la motivación general a buscar droga por un proceso habitual incluso si el resultado es solo la búsqueda de droga, confundiéndose la TPI general y específica en este caso en particular. La evidencia de TPI con drogas revisada en la siguiente sección revela algunas situaciones interesantes que hace más necesario el investigar el proceso de TPI general con claves apetitivas de drogas.</w:t>
      </w:r>
    </w:p>
    <w:p w:rsidR="00000000" w:rsidDel="00000000" w:rsidP="00000000" w:rsidRDefault="00000000" w:rsidRPr="00000000" w14:paraId="0000000C">
      <w:pPr>
        <w:pStyle w:val="Heading2"/>
        <w:rPr/>
      </w:pPr>
      <w:bookmarkStart w:colFirst="0" w:colLast="0" w:name="_wysxdme28ovl" w:id="3"/>
      <w:bookmarkEnd w:id="3"/>
      <w:r w:rsidDel="00000000" w:rsidR="00000000" w:rsidRPr="00000000">
        <w:rPr>
          <w:rtl w:val="0"/>
        </w:rPr>
        <w:t xml:space="preserve">TPI relacionado al consumo de drogas y problemas de la literatura</w:t>
      </w:r>
    </w:p>
    <w:p w:rsidR="00000000" w:rsidDel="00000000" w:rsidP="00000000" w:rsidRDefault="00000000" w:rsidRPr="00000000" w14:paraId="0000000D">
      <w:pPr>
        <w:spacing w:line="480" w:lineRule="auto"/>
        <w:ind w:firstLine="720"/>
        <w:jc w:val="both"/>
        <w:rPr/>
      </w:pPr>
      <w:r w:rsidDel="00000000" w:rsidR="00000000" w:rsidRPr="00000000">
        <w:rPr>
          <w:rtl w:val="0"/>
        </w:rPr>
        <w:t xml:space="preserve">Existe una </w:t>
      </w:r>
      <w:r w:rsidDel="00000000" w:rsidR="00000000" w:rsidRPr="00000000">
        <w:rPr>
          <w:rtl w:val="0"/>
        </w:rPr>
        <w:t xml:space="preserve">relativa falta de evidencia de TPI general en seres humanos, cuando se trata de claves de drogas, lo que parece indicar que, en el caso de la adicción, mecanismos de conducta dirigida a metas, donde necesariamente media una representación de la recompensa O, funcionan predominantemente en la búsqueda de droga (Hogarth, 2018). </w:t>
      </w:r>
    </w:p>
    <w:p w:rsidR="00000000" w:rsidDel="00000000" w:rsidP="00000000" w:rsidRDefault="00000000" w:rsidRPr="00000000" w14:paraId="0000000E">
      <w:pPr>
        <w:spacing w:line="480" w:lineRule="auto"/>
        <w:ind w:firstLine="720"/>
        <w:jc w:val="both"/>
        <w:rPr/>
      </w:pPr>
      <w:r w:rsidDel="00000000" w:rsidR="00000000" w:rsidRPr="00000000">
        <w:rPr>
          <w:rtl w:val="0"/>
        </w:rPr>
        <w:t xml:space="preserve">En temas de influencia de claves presentes en la conducta instrumental, la investigación sobre el rol del hábito en la conducta de consumo de drogas en animales favorece la teoría de que las claves de drogas causan conductas habituales, relacionadas con el consumo de drogas, pero la literatura en seres humanos es mixta. Esto debería ir acompañado de evidencia de fuerte TPI general con claves de droga. Por el lado de los humanos, Hogarth et al. (2007) entrenó humanos a responder una instrumental por puntos de tabaco o puntos de comida y condicionó claves Pavlovianas a las mismas recompensas. En una prueba de transferencia, encontró que las claves selectivamente aumentaron la respuesta en las instrumentales asociadas a la misma recompensa, sin evidencia de TPI general. En un experimento anterior (Hogarth et al., 2006) tampoco encontró diferencias entre fumadores y controles normales en una tarea de PIT, aunque no probó la devaluación de la recompensa. En el tema de claves de tabaco, Manglani et al. (2017) encontraron que las claves de tabaco si pueden aumentar la respuesta instrumental de tabaco incluso en la ausencia del resultado, lo que puede verse como TPI general, pero el método no permite diferenciar TPI general de específica. Hogarth et al. (2019) encontró en una tarea de devaluación en TPI en usuarios de drogas comparados con controles normales, ambos grupos se comportan de la misma manera disminuyendo la respuesta devaluada, indicando acción dirigida a metas, aunque utilizó claves de comida y no claves de drogas. Mahlberg et al. (2019) utilizó claves de alcohol con el objetivo de elicitar antojo de consumo, encontrando un efecto específico de PIT, pero no probó un efecto de TPI general, por lo que no puede diferenciar entre influencia general de los estímulos presentes o la representación de la recompensa. Luijten et al. (2020) tampoco encuentra una diferencia tampoco entre fumadores y controles no fumadores, donde ambos grupos devaluaron de la misma manera la respuesta instrumental, utilizando recompensas de puntajes. van Timmeren et al. (2020) utilizaron recompensas de comida y dinero, comparando grupos con consumo problemático de alcohol y controles normales, tampoco encontró una diferencia en la devaluación, demostrando comportamiento acorde a acción TPI específica. Los tres estudios anteriores si bien no utilizaron claves de drogas, si buscaron mecanismos de TPI general en el consumo de drogas. En conjunto, no hay claridad sobre el rol de la TPI general en el consumo de drogas, ya sea en personas con consumo problemático o regular.</w:t>
      </w:r>
    </w:p>
    <w:p w:rsidR="00000000" w:rsidDel="00000000" w:rsidP="00000000" w:rsidRDefault="00000000" w:rsidRPr="00000000" w14:paraId="0000000F">
      <w:pPr>
        <w:pStyle w:val="Heading2"/>
        <w:rPr/>
      </w:pPr>
      <w:bookmarkStart w:colFirst="0" w:colLast="0" w:name="_p6ybkqtas4xf" w:id="4"/>
      <w:bookmarkEnd w:id="4"/>
      <w:r w:rsidDel="00000000" w:rsidR="00000000" w:rsidRPr="00000000">
        <w:rPr>
          <w:rtl w:val="0"/>
        </w:rPr>
        <w:t xml:space="preserve">Importancia del resguardo de la ecología en la presentación de estímulos para la transferencia Pavloviana-instrumental</w:t>
      </w:r>
    </w:p>
    <w:p w:rsidR="00000000" w:rsidDel="00000000" w:rsidP="00000000" w:rsidRDefault="00000000" w:rsidRPr="00000000" w14:paraId="00000010">
      <w:pPr>
        <w:rPr/>
      </w:pPr>
      <w:r w:rsidDel="00000000" w:rsidR="00000000" w:rsidRPr="00000000">
        <w:rPr>
          <w:rtl w:val="0"/>
        </w:rPr>
        <w:t xml:space="preserve">La transferencia Pavloviana-Instrumental ha demostrado ser altamente sensible a las señales ambientales que se encuentran en el contexto de experimentación.  Un ejemplo de esto lo plantea, Qin et al. (2023)  quienes evidenciaron que señales asociadas a metas sociales o personales pueden modular de forma específica el comportamiento instrumental, lo que dependerá del grado de libertad que tenga el participante para  reaccionar y actuar frente a estos estímulos. En su estudio, sólo las señales vinculadas a beneficios personales incrementaron la acción instrumental cuando los individuos podían decidir voluntariamente cómo actuar, lo que destaca la relevancia del contexto y entorno social como modulador ecológico de la transferencia.</w:t>
      </w:r>
    </w:p>
    <w:p w:rsidR="00000000" w:rsidDel="00000000" w:rsidP="00000000" w:rsidRDefault="00000000" w:rsidRPr="00000000" w14:paraId="00000011">
      <w:pPr>
        <w:spacing w:after="0" w:before="0" w:line="480" w:lineRule="auto"/>
        <w:ind w:firstLine="720"/>
        <w:jc w:val="both"/>
        <w:rPr/>
      </w:pPr>
      <w:r w:rsidDel="00000000" w:rsidR="00000000" w:rsidRPr="00000000">
        <w:rPr>
          <w:rtl w:val="0"/>
        </w:rPr>
        <w:t xml:space="preserve">Además, estudios sobre entornos dietéticos han revelado que señales alimentarias omnipresentes en el entorno que promueven la obesidad o que la visualizan de manera positiva incrementa la transferencia conductual, tanto en humanos como en modelos animales (Gladding et al., 2023). Estas señales ambientales, frecuentes en la vida diaria, como la presencia constante de alimentos altamente calóricos, actúan como  impulsores de respuestas instrumentales  lo que sucede, incluso, en ausencia de hambre fisiológica, reforzando el carácter adaptativo  o desadaptativo del aprendizaje condicionado en contextos contemporáneos.</w:t>
      </w:r>
    </w:p>
    <w:p w:rsidR="00000000" w:rsidDel="00000000" w:rsidP="00000000" w:rsidRDefault="00000000" w:rsidRPr="00000000" w14:paraId="00000012">
      <w:pPr>
        <w:rPr/>
      </w:pPr>
      <w:r w:rsidDel="00000000" w:rsidR="00000000" w:rsidRPr="00000000">
        <w:rPr>
          <w:rtl w:val="0"/>
        </w:rPr>
        <w:t xml:space="preserve">Kirsten et al. (2022) también observaron que la exposición a materiales audiovisuales pro-azúcar, usados como señales previas, influía directamente en la conducta de búsqueda de alimentos, incluso cuando el refuerzo no estaba disponible. En esa misma línea, Seabrooke et al. (2022) han planteado que la efectividad de las señales previamente asociadas a recompensas puede deteriorarse si la extinción ocurre en un entorno distinto al original, lo cual reafirma la necesidad de preservar la coherencia contextual de las señales en tareas de aprendizaje y su relación con la ecología de presentación de los estímulos.</w:t>
      </w:r>
    </w:p>
    <w:p w:rsidR="00000000" w:rsidDel="00000000" w:rsidP="00000000" w:rsidRDefault="00000000" w:rsidRPr="00000000" w14:paraId="00000013">
      <w:pPr>
        <w:rPr/>
      </w:pPr>
      <w:r w:rsidDel="00000000" w:rsidR="00000000" w:rsidRPr="00000000">
        <w:rPr>
          <w:rtl w:val="0"/>
        </w:rPr>
        <w:t xml:space="preserve">En poblaciones clínicas, Vogel et al. (2020) visualizaron que la sensibilidad a señales asociadas a alimentos de distinto valor calórico varía significativamente en pacientes con anorexia nerviosa, lo que indica que la historia personal y el significado subjetivo de la historia personal que posee el participante con las señales que se presentan también deben considerarse como parte de la ecología del aprendizaje, y en consecuencia como un factor con el cual tener resguardo al momento de realizar los experimentos. Complementariamente, Garbusow et al. (2022) subrayan que en trastornos relacionados con adicciones, las señales contextuales presentes en entornos naturales (como bares o situaciones sociales) pueden mantener o reactivar patrones instrumentales problemáticos, incluso tras períodos prolongados de abstinencia.</w:t>
      </w:r>
    </w:p>
    <w:p w:rsidR="00000000" w:rsidDel="00000000" w:rsidP="00000000" w:rsidRDefault="00000000" w:rsidRPr="00000000" w14:paraId="00000014">
      <w:pPr>
        <w:rPr/>
      </w:pPr>
      <w:r w:rsidDel="00000000" w:rsidR="00000000" w:rsidRPr="00000000">
        <w:rPr>
          <w:rtl w:val="0"/>
        </w:rPr>
        <w:t xml:space="preserve">En conjunto, la documentación señalada justifica que las señales presentes en el ambiente son influyentes conductuales, especialmente cuando su carga ecológica y relevancia funcional reflejan características del mundo real. Este experimento, por lo tanto, aborda esta dimensión con claves relevantes para los individuos.</w:t>
      </w:r>
    </w:p>
    <w:p w:rsidR="00000000" w:rsidDel="00000000" w:rsidP="00000000" w:rsidRDefault="00000000" w:rsidRPr="00000000" w14:paraId="00000015">
      <w:pPr>
        <w:pStyle w:val="Heading2"/>
        <w:rPr/>
      </w:pPr>
      <w:bookmarkStart w:colFirst="0" w:colLast="0" w:name="_uxvssuh4zkms" w:id="5"/>
      <w:bookmarkEnd w:id="5"/>
      <w:r w:rsidDel="00000000" w:rsidR="00000000" w:rsidRPr="00000000">
        <w:rPr>
          <w:rtl w:val="0"/>
        </w:rPr>
        <w:t xml:space="preserve">Dinámica de asociaciones en la TPI con drogas</w:t>
      </w:r>
    </w:p>
    <w:p w:rsidR="00000000" w:rsidDel="00000000" w:rsidP="00000000" w:rsidRDefault="00000000" w:rsidRPr="00000000" w14:paraId="00000016">
      <w:pPr>
        <w:rPr/>
      </w:pPr>
      <w:r w:rsidDel="00000000" w:rsidR="00000000" w:rsidRPr="00000000">
        <w:rPr>
          <w:rtl w:val="0"/>
        </w:rPr>
        <w:t xml:space="preserve">La descripción formal de las asociaciones que están en juego durante el TPI son relaciones de las representaciones de la respuesta de búsqueda de droga (R), la representación de los estímulos que anteceden y señalizan la droga (S), y la representación de la recompensa misma (i.e. la droga, O). En el condicionamiento Pavloviano, se forman un vínculo estímulo-resultado que le permite a la clave el evocar la representación de la droga, o un vínculo S-O. En el condicionamiento instrumental, se forma un vínculo R-O al asociarse la respuesta con el resultado de obtención o consumo de droga. Conexiones bidireccionales entre S-O y R-O permiten la formación de un vínculo S-R entre las claves ambientales y las respuestas de búsqueda de drogas, el cual es la base de las conductas habituales, pues permite a las claves de drogas el elicitar la respuesta de búsqueda de droga con independencia de la presencia efectiva de la droga, o incluso su representación O. Este modelo predice que las claves de consumo de drogas producen las respuestas de manera habitual: la presencia de S produce que se realice R. En Hogarth et al. (2013) se detalla un mecanismo que toma estos elementos y que añade que para O cuando es droga se registran dos representaciones separadas, una que son sus correlatos sensoriales o identidad perceptual (O</w:t>
      </w:r>
      <w:r w:rsidDel="00000000" w:rsidR="00000000" w:rsidRPr="00000000">
        <w:rPr>
          <w:vertAlign w:val="superscript"/>
          <w:rtl w:val="0"/>
        </w:rPr>
        <w:t xml:space="preserve">i</w:t>
      </w:r>
      <w:r w:rsidDel="00000000" w:rsidR="00000000" w:rsidRPr="00000000">
        <w:rPr>
          <w:rtl w:val="0"/>
        </w:rPr>
        <w:t xml:space="preserve">), y otra que es su valor de incentivo, consumatorio o postingestivo (O</w:t>
      </w:r>
      <w:r w:rsidDel="00000000" w:rsidR="00000000" w:rsidRPr="00000000">
        <w:rPr>
          <w:vertAlign w:val="superscript"/>
          <w:rtl w:val="0"/>
        </w:rPr>
        <w:t xml:space="preserve">v</w:t>
      </w:r>
      <w:r w:rsidDel="00000000" w:rsidR="00000000" w:rsidRPr="00000000">
        <w:rPr>
          <w:rtl w:val="0"/>
        </w:rPr>
        <w:t xml:space="preserve">). En la transferencia específica, S recupera una representación de O</w:t>
      </w:r>
      <w:r w:rsidDel="00000000" w:rsidR="00000000" w:rsidRPr="00000000">
        <w:rPr>
          <w:vertAlign w:val="superscript"/>
          <w:rtl w:val="0"/>
        </w:rPr>
        <w:t xml:space="preserve">i </w:t>
      </w:r>
      <w:r w:rsidDel="00000000" w:rsidR="00000000" w:rsidRPr="00000000">
        <w:rPr>
          <w:rtl w:val="0"/>
        </w:rPr>
        <w:t xml:space="preserve">que puede, a su vez, elicitar las respuestas asociadas al mismo resultado a través de una conexión bidireccional S-O</w:t>
      </w:r>
      <w:r w:rsidDel="00000000" w:rsidR="00000000" w:rsidRPr="00000000">
        <w:rPr>
          <w:vertAlign w:val="superscript"/>
          <w:rtl w:val="0"/>
        </w:rPr>
        <w:t xml:space="preserve">i</w:t>
      </w:r>
      <w:r w:rsidDel="00000000" w:rsidR="00000000" w:rsidRPr="00000000">
        <w:rPr>
          <w:rtl w:val="0"/>
        </w:rPr>
        <w:t xml:space="preserve">-R. Para la TPI general, la conexión S-O</w:t>
      </w:r>
      <w:r w:rsidDel="00000000" w:rsidR="00000000" w:rsidRPr="00000000">
        <w:rPr>
          <w:vertAlign w:val="superscript"/>
          <w:rtl w:val="0"/>
        </w:rPr>
        <w:t xml:space="preserve">v</w:t>
      </w:r>
      <w:r w:rsidDel="00000000" w:rsidR="00000000" w:rsidRPr="00000000">
        <w:rPr>
          <w:rtl w:val="0"/>
        </w:rPr>
        <w:t xml:space="preserve"> recupera un estado afectivo motivacional parecido al efecto de la droga mismo, que tiene un efecto excitatorio general en otras asociaciones y respuestas. En este sentido, el modelo predice que S asociados a droga debería generar TPI general a otros S de droga y ser relativamente indiferente a la devaluación. Una clave asociada solamente a O</w:t>
      </w:r>
      <w:r w:rsidDel="00000000" w:rsidR="00000000" w:rsidRPr="00000000">
        <w:rPr>
          <w:vertAlign w:val="superscript"/>
          <w:rtl w:val="0"/>
        </w:rPr>
        <w:t xml:space="preserve">i</w:t>
      </w:r>
      <w:r w:rsidDel="00000000" w:rsidR="00000000" w:rsidRPr="00000000">
        <w:rPr>
          <w:rtl w:val="0"/>
        </w:rPr>
        <w:t xml:space="preserve">, que no es una droga, debería generar transferencia solo específica y ser sensible a la devaluación.</w:t>
      </w:r>
    </w:p>
    <w:p w:rsidR="00000000" w:rsidDel="00000000" w:rsidP="00000000" w:rsidRDefault="00000000" w:rsidRPr="00000000" w14:paraId="00000017">
      <w:pPr>
        <w:rPr/>
      </w:pPr>
      <w:r w:rsidDel="00000000" w:rsidR="00000000" w:rsidRPr="00000000">
        <w:rPr>
          <w:rtl w:val="0"/>
        </w:rPr>
        <w:t xml:space="preserve">En este experimento abordaremos la TPI general con claves de drogas en seres humanos. Proponemos que para este objetivo es necesario utilizar una clave de drogas en la fase Pavloviana que no se presenta en la fase instrumental, de manera de eliminar cualquier posible vínculo S-O. También, utilizaremos claves individuales personalizadas.Nuestra hipótesis es que</w:t>
      </w:r>
      <w:r w:rsidDel="00000000" w:rsidR="00000000" w:rsidRPr="00000000">
        <w:rPr>
          <w:b w:val="1"/>
          <w:bCs w:val="1"/>
          <w:rtl w:val="0"/>
        </w:rPr>
        <w:t xml:space="preserve"> </w:t>
      </w:r>
      <w:r w:rsidDel="00000000" w:rsidR="00000000" w:rsidRPr="00000000">
        <w:rPr>
          <w:rtl w:val="0"/>
        </w:rPr>
        <w:t xml:space="preserve">u</w:t>
      </w:r>
      <w:r w:rsidDel="00000000" w:rsidR="00000000" w:rsidRPr="00000000">
        <w:rPr>
          <w:rtl w:val="0"/>
        </w:rPr>
        <w:t xml:space="preserve">na clave de droga que no se utilizó en la fase instrumental va a generar TPI general en la fase instrumental de una droga distinta, comparado con una clave que ha sido asociada a comida, y este efecto será resistente a la devaluación.</w:t>
      </w:r>
    </w:p>
    <w:p w:rsidR="00000000" w:rsidDel="00000000" w:rsidP="00000000" w:rsidRDefault="00000000" w:rsidRPr="00000000" w14:paraId="00000018">
      <w:pPr>
        <w:pStyle w:val="Heading1"/>
        <w:spacing w:after="0" w:lineRule="auto"/>
        <w:ind w:firstLine="0"/>
        <w:jc w:val="center"/>
        <w:rPr/>
      </w:pPr>
      <w:bookmarkStart w:colFirst="0" w:colLast="0" w:name="_cq72xkcpj520" w:id="6"/>
      <w:bookmarkEnd w:id="6"/>
      <w:r w:rsidDel="00000000" w:rsidR="00000000" w:rsidRPr="00000000">
        <w:rPr>
          <w:rtl w:val="0"/>
        </w:rPr>
        <w:t xml:space="preserve">Metodología</w:t>
      </w:r>
    </w:p>
    <w:p w:rsidR="00000000" w:rsidDel="00000000" w:rsidP="00000000" w:rsidRDefault="00000000" w:rsidRPr="00000000" w14:paraId="00000019">
      <w:pPr>
        <w:pStyle w:val="Heading2"/>
        <w:rPr/>
      </w:pPr>
      <w:bookmarkStart w:colFirst="0" w:colLast="0" w:name="_dj2ylkymipf2" w:id="7"/>
      <w:bookmarkEnd w:id="7"/>
      <w:r w:rsidDel="00000000" w:rsidR="00000000" w:rsidRPr="00000000">
        <w:rPr>
          <w:rtl w:val="0"/>
        </w:rPr>
        <w:t xml:space="preserve">Participantes</w:t>
      </w:r>
    </w:p>
    <w:p w:rsidR="00000000" w:rsidDel="00000000" w:rsidP="00000000" w:rsidRDefault="00000000" w:rsidRPr="00000000" w14:paraId="0000001A">
      <w:pPr>
        <w:spacing w:line="480" w:lineRule="auto"/>
        <w:ind w:firstLine="720"/>
        <w:jc w:val="both"/>
        <w:rPr/>
      </w:pPr>
      <w:r w:rsidDel="00000000" w:rsidR="00000000" w:rsidRPr="00000000">
        <w:rPr>
          <w:rtl w:val="0"/>
        </w:rPr>
        <w:t xml:space="preserve">Se reclutaron personas mayores de edad (igual o mayores de 18 años según la ley chilena) que tengan experiencia tanto con tabaco como con alcohol. Se utilizarán personas que hayan consumido al menos 6 cigarrillos al día durante el último año y que no hayan hecho algún esfuerzo por dejar de hacerlo. También, se utilizará el cuestionario AUDIT en su versión validada en Chile para filtrar a las personas que no tengan ningún tipo de experiencia con el alcohol o que puedan tener un nivel de consumo problemático. El valor del tamaño del efecto del efecto principal entre-sujetos fue de </w:t>
      </w:r>
      <m:oMath>
        <m:sSubSup>
          <m:sSubSupPr>
            <m:ctrlPr>
              <w:rPr/>
            </m:ctrlPr>
          </m:sSubSupPr>
          <m:e>
            <m:r>
              <m:t>η</m:t>
            </m:r>
          </m:e>
          <m:sub>
            <m:r>
              <w:rPr/>
              <m:t xml:space="preserve">p</m:t>
            </m:r>
          </m:sub>
          <m:sup>
            <m:r>
              <w:rPr/>
              <m:t xml:space="preserve">2</m:t>
            </m:r>
          </m:sup>
        </m:sSubSup>
      </m:oMath>
      <w:r w:rsidDel="00000000" w:rsidR="00000000" w:rsidRPr="00000000">
        <w:rPr>
          <w:rtl w:val="0"/>
        </w:rPr>
        <w:t xml:space="preserve"> = 0.05, y el cálculo del tamaño muestral para un diseño experimental de dos grupos, don dos medidas repetidas (descuento por demora ante A y ante B), utilizando GPower, es de 40 sujetos, con un poder de 0.8, para cada experimento.</w:t>
      </w:r>
    </w:p>
    <w:p w:rsidR="00000000" w:rsidDel="00000000" w:rsidP="00000000" w:rsidRDefault="00000000" w:rsidRPr="00000000" w14:paraId="0000001B">
      <w:pPr>
        <w:spacing w:line="480" w:lineRule="auto"/>
        <w:ind w:left="0" w:firstLine="0"/>
        <w:jc w:val="both"/>
        <w:rPr>
          <w:b w:val="1"/>
          <w:bCs w:val="1"/>
        </w:rPr>
      </w:pPr>
      <w:r w:rsidDel="00000000" w:rsidR="00000000" w:rsidRPr="00000000">
        <w:rPr>
          <w:b w:val="1"/>
          <w:bCs w:val="1"/>
          <w:rtl w:val="0"/>
        </w:rPr>
        <w:t xml:space="preserve">Aparatos</w:t>
      </w:r>
    </w:p>
    <w:p w:rsidR="00000000" w:rsidDel="00000000" w:rsidP="00000000" w:rsidRDefault="00000000" w:rsidRPr="00000000" w14:paraId="0000001C">
      <w:pPr>
        <w:spacing w:line="480" w:lineRule="auto"/>
        <w:jc w:val="both"/>
        <w:rPr/>
      </w:pPr>
      <w:r w:rsidDel="00000000" w:rsidR="00000000" w:rsidRPr="00000000">
        <w:rPr>
          <w:rtl w:val="0"/>
        </w:rPr>
        <w:t xml:space="preserve">Se utilizarán tablets conectados al internet del lugar donde se lleve a cabo el experimento. Las tablets son de marca (INSERTE MARCA AQUÍ) con sistema operativo Android 14. A través de estas tablets se implementará el experimento 1.</w:t>
      </w:r>
    </w:p>
    <w:p w:rsidR="00000000" w:rsidDel="00000000" w:rsidP="00000000" w:rsidRDefault="00000000" w:rsidRPr="00000000" w14:paraId="0000001D">
      <w:pPr>
        <w:spacing w:line="480" w:lineRule="auto"/>
        <w:ind w:left="0" w:firstLine="0"/>
        <w:jc w:val="both"/>
        <w:rPr>
          <w:b w:val="1"/>
          <w:bCs w:val="1"/>
        </w:rPr>
      </w:pPr>
      <w:r w:rsidDel="00000000" w:rsidR="00000000" w:rsidRPr="00000000">
        <w:rPr>
          <w:b w:val="1"/>
          <w:bCs w:val="1"/>
          <w:rtl w:val="0"/>
        </w:rPr>
        <w:t xml:space="preserve">Software</w:t>
      </w:r>
    </w:p>
    <w:p w:rsidR="00000000" w:rsidDel="00000000" w:rsidP="00000000" w:rsidRDefault="00000000" w:rsidRPr="00000000" w14:paraId="0000001E">
      <w:pPr>
        <w:spacing w:line="480" w:lineRule="auto"/>
        <w:ind w:firstLine="720"/>
        <w:jc w:val="both"/>
        <w:rPr/>
      </w:pPr>
      <w:r w:rsidDel="00000000" w:rsidR="00000000" w:rsidRPr="00000000">
        <w:rPr>
          <w:rtl w:val="0"/>
        </w:rPr>
        <w:t xml:space="preserve">Para realizar el experimento se utilizará la plataforma “pavlovia” (</w:t>
      </w:r>
      <w:hyperlink r:id="rId7">
        <w:r w:rsidDel="00000000" w:rsidR="00000000" w:rsidRPr="00000000">
          <w:rPr>
            <w:color w:val="1155cc"/>
            <w:u w:val="single"/>
            <w:rtl w:val="0"/>
          </w:rPr>
          <w:t xml:space="preserve">pavlovia.org</w:t>
        </w:r>
      </w:hyperlink>
      <w:r w:rsidDel="00000000" w:rsidR="00000000" w:rsidRPr="00000000">
        <w:rPr>
          <w:rtl w:val="0"/>
        </w:rPr>
        <w:t xml:space="preserve">) que permite diseñar experimentos y aplicarlos online. Bajo esta plataforma los experimentos 1 al 4 con sus respectivas etapas. A continuación se justifica la elección de este software para este experimento. Lo cual tiene como eje central la búsqueda de la mayor ecología posible es la presentación de los estímulos considerando que este es un factor relevante según lo previamente revisado. </w:t>
      </w:r>
    </w:p>
    <w:p w:rsidR="00000000" w:rsidDel="00000000" w:rsidP="00000000" w:rsidRDefault="00000000" w:rsidRPr="00000000" w14:paraId="0000001F">
      <w:pPr>
        <w:spacing w:line="480" w:lineRule="auto"/>
        <w:ind w:firstLine="720"/>
        <w:jc w:val="both"/>
        <w:rPr/>
      </w:pPr>
      <w:r w:rsidDel="00000000" w:rsidR="00000000" w:rsidRPr="00000000">
        <w:rPr>
          <w:rtl w:val="0"/>
        </w:rPr>
        <w:t xml:space="preserve">En primer lugar, Pavlovia como una plataforma online que utiliza PsychoPy para ejecutar experimentos en navegadores, permite estandarizar el entorno experimental y reducir las diferencias tecnológicas entre participantes. Se ha identificado que la variabilidad en dispositivos y navegadores puede introducir sesgos significativos en los tiempos de reacción y la percepción de estímulos condicionados,  utilizar Pavlovia ayuda a mitigar estas inconsistencias al emplear el mismo motor (JavaScript generado por PsychoPy) para todos los participantes (Rosenthal et al., 2023; Belanger et al., 2022).</w:t>
      </w:r>
    </w:p>
    <w:p w:rsidR="00000000" w:rsidDel="00000000" w:rsidP="00000000" w:rsidRDefault="00000000" w:rsidRPr="00000000" w14:paraId="00000020">
      <w:pPr>
        <w:spacing w:line="480" w:lineRule="auto"/>
        <w:ind w:firstLine="720"/>
        <w:jc w:val="both"/>
        <w:rPr/>
      </w:pPr>
      <w:r w:rsidDel="00000000" w:rsidR="00000000" w:rsidRPr="00000000">
        <w:rPr>
          <w:rtl w:val="0"/>
        </w:rPr>
        <w:t xml:space="preserve">Otra ventaja crucial de Pavlovia es la medición precisa y estandarizada del tiempo de respuesta. La plataforma registra con precisión milimétrica eventos críticos, y permite incorporar filtros automáticos que excluyen sesiones con latencias irregulares. Estas características son especialmente relevantes dado que   se ha visualizado que incluso pequeñas variaciones en la latencia pueden alterar los efectos de la transferencia Pavloviana a Instrumental (Badioli et al., 2024; Belanger et al., 2022).</w:t>
      </w:r>
    </w:p>
    <w:p w:rsidR="00000000" w:rsidDel="00000000" w:rsidP="00000000" w:rsidRDefault="00000000" w:rsidRPr="00000000" w14:paraId="00000021">
      <w:pPr>
        <w:spacing w:line="480" w:lineRule="auto"/>
        <w:ind w:firstLine="720"/>
        <w:jc w:val="both"/>
        <w:rPr/>
      </w:pPr>
      <w:r w:rsidDel="00000000" w:rsidR="00000000" w:rsidRPr="00000000">
        <w:rPr>
          <w:rtl w:val="0"/>
        </w:rPr>
        <w:t xml:space="preserve">Además, Pavlovia facilita la adaptación del experimento a distintos tipos de herramientas de input (teclado, joystick, pantalla táctil), con la opción de detectar automáticamente el dispositivo empleado por cada participante. Esta flexibilidad   cobra importancia ya que se ha demostrado que el tipo de dispositivo usado influye directamente en los resultados de tareas PIT (Belanger et al., 2022; Rosenthal et al., 2023). Pavlovia permite emular paradigmas de laboratorio (por ejemplo, joystick en tareas de evitación), gracias a esto se puede controlar mejor el estado y el entorno del participante. En Relación cobra relevancia que  mediante el software de Pavlovia es posible incluir formularios previos o posteriores al experimento para verificar si el participante se encuentra distraído, si tenía hambre o  otros elementos que se deseen considerar. Esta información contextual resulta clave ya que estudios como los de Hinojosa-Aguayo et al. (citado en Gonzalez et al., 2025) y Badioli et al. (2024) destacan que factores ambientales y de estado interno modulan los efectos del PIT.</w:t>
      </w:r>
    </w:p>
    <w:p w:rsidR="00000000" w:rsidDel="00000000" w:rsidP="00000000" w:rsidRDefault="00000000" w:rsidRPr="00000000" w14:paraId="00000022">
      <w:pPr>
        <w:spacing w:line="480" w:lineRule="auto"/>
        <w:ind w:firstLine="720"/>
        <w:jc w:val="both"/>
        <w:rPr/>
      </w:pPr>
      <w:r w:rsidDel="00000000" w:rsidR="00000000" w:rsidRPr="00000000">
        <w:rPr>
          <w:rtl w:val="0"/>
        </w:rPr>
        <w:t xml:space="preserve">Finalmente, Pavlovia promueve una reproducibilidad superior, al permitir compartir y versionar el código mediante Git. Las tareas son públicas o pueden replicarse con exactitud, lo cual es crucial para superar la variabilidad metodológica señalada en revisiones recientes sobre experimental PIT (Badioli et al., 2024). El uso de versiones controladas garantiza transparencia en los ajustes técnicos, como la calibración de latencia o la adaptación del input.</w:t>
      </w:r>
    </w:p>
    <w:p w:rsidR="00000000" w:rsidDel="00000000" w:rsidP="00000000" w:rsidRDefault="00000000" w:rsidRPr="00000000" w14:paraId="00000023">
      <w:pPr>
        <w:spacing w:line="480" w:lineRule="auto"/>
        <w:ind w:left="0" w:firstLine="0"/>
        <w:jc w:val="both"/>
        <w:rPr>
          <w:b w:val="1"/>
          <w:bCs w:val="1"/>
        </w:rPr>
      </w:pPr>
      <w:r w:rsidDel="00000000" w:rsidR="00000000" w:rsidRPr="00000000">
        <w:rPr>
          <w:b w:val="1"/>
          <w:bCs w:val="1"/>
          <w:rtl w:val="0"/>
        </w:rPr>
        <w:t xml:space="preserve">Estímulos</w:t>
      </w:r>
    </w:p>
    <w:p w:rsidR="00000000" w:rsidDel="00000000" w:rsidP="00000000" w:rsidRDefault="00000000" w:rsidRPr="00000000" w14:paraId="00000024">
      <w:pPr>
        <w:spacing w:line="480" w:lineRule="auto"/>
        <w:ind w:firstLine="720"/>
        <w:jc w:val="both"/>
        <w:rPr/>
      </w:pPr>
      <w:r w:rsidDel="00000000" w:rsidR="00000000" w:rsidRPr="00000000">
        <w:rPr>
          <w:rtl w:val="0"/>
        </w:rPr>
        <w:t xml:space="preserve">Al inicio del ensayo aparecerá “punto de fijación”, este punto se caracteriza por ser una cruz que está centrada al medio de la pantalla. Servirá para que los participantes centren su atención y estén atentos al siguiente ensayo.</w:t>
      </w:r>
    </w:p>
    <w:p w:rsidR="00000000" w:rsidDel="00000000" w:rsidP="00000000" w:rsidRDefault="00000000" w:rsidRPr="00000000" w14:paraId="00000025">
      <w:pPr>
        <w:spacing w:line="480" w:lineRule="auto"/>
        <w:ind w:firstLine="720"/>
        <w:jc w:val="both"/>
        <w:rPr/>
      </w:pPr>
      <w:r w:rsidDel="00000000" w:rsidR="00000000" w:rsidRPr="00000000">
        <w:rPr>
          <w:rtl w:val="0"/>
        </w:rPr>
        <w:t xml:space="preserve">Los estímulos que se utilizarán para la fase pavloviana serán unos cuadrados de distintos colores de tamaño </w:t>
      </w:r>
      <w:r w:rsidDel="00000000" w:rsidR="00000000" w:rsidRPr="00000000">
        <w:rPr>
          <w:rtl w:val="0"/>
        </w:rPr>
        <w:t xml:space="preserve">4 cm por 4 cm centrados en la pantalla</w:t>
      </w:r>
      <w:r w:rsidDel="00000000" w:rsidR="00000000" w:rsidRPr="00000000">
        <w:rPr>
          <w:rtl w:val="0"/>
        </w:rPr>
        <w:t xml:space="preserve"> que aparecerán luego de un punto de fijación. Los colores serán azul, amarillo, rojo y verde. Cada uno servirá como clave asociativa.</w:t>
      </w:r>
    </w:p>
    <w:p w:rsidR="00000000" w:rsidDel="00000000" w:rsidP="00000000" w:rsidRDefault="00000000" w:rsidRPr="00000000" w14:paraId="00000026">
      <w:pPr>
        <w:spacing w:line="480" w:lineRule="auto"/>
        <w:ind w:firstLine="720"/>
        <w:jc w:val="both"/>
        <w:rPr/>
      </w:pPr>
      <w:r w:rsidDel="00000000" w:rsidR="00000000" w:rsidRPr="00000000">
        <w:rPr>
          <w:rtl w:val="0"/>
        </w:rPr>
        <w:t xml:space="preserve">Además luego del estímulo o luego de que los participantes presionen una tecla durante la fase instrumental (dependiendo de cuántos puntos acumulen) aparecerá una imagen de un cigarro o una cerveza centrada en la pantalla. </w:t>
      </w:r>
    </w:p>
    <w:p w:rsidR="00000000" w:rsidDel="00000000" w:rsidP="00000000" w:rsidRDefault="00000000" w:rsidRPr="00000000" w14:paraId="00000027">
      <w:pPr>
        <w:spacing w:line="480" w:lineRule="auto"/>
        <w:ind w:left="0" w:firstLine="0"/>
        <w:jc w:val="both"/>
        <w:rPr>
          <w:b w:val="1"/>
          <w:bCs w:val="1"/>
        </w:rPr>
      </w:pPr>
      <w:r w:rsidDel="00000000" w:rsidR="00000000" w:rsidRPr="00000000">
        <w:rPr>
          <w:b w:val="1"/>
          <w:bCs w:val="1"/>
          <w:rtl w:val="0"/>
        </w:rPr>
        <w:t xml:space="preserve">Drogas</w:t>
      </w:r>
    </w:p>
    <w:p w:rsidR="00000000" w:rsidDel="00000000" w:rsidP="00000000" w:rsidRDefault="00000000" w:rsidRPr="00000000" w14:paraId="00000028">
      <w:pPr>
        <w:spacing w:line="480" w:lineRule="auto"/>
        <w:ind w:firstLine="720"/>
        <w:jc w:val="both"/>
        <w:rPr/>
      </w:pPr>
      <w:r w:rsidDel="00000000" w:rsidR="00000000" w:rsidRPr="00000000">
        <w:rPr>
          <w:rtl w:val="0"/>
        </w:rPr>
        <w:t xml:space="preserve">Durante las fases pavlovianas, instrumentales y de transferencia pavloviana-instrumental no se entregará droga. Sólo, se entregará durante la fase de devaluación. Las drogas utilizadas durante la devaluación serán cerveza sin alcohol o tabaco ofrecidos por los investigadores. La marca de ambas drogas serán </w:t>
      </w:r>
      <w:r w:rsidDel="00000000" w:rsidR="00000000" w:rsidRPr="00000000">
        <w:rPr>
          <w:highlight w:val="yellow"/>
          <w:rtl w:val="0"/>
        </w:rPr>
        <w:t xml:space="preserve">(INSERTE MARCA AQUÍ),</w:t>
      </w:r>
      <w:r w:rsidDel="00000000" w:rsidR="00000000" w:rsidRPr="00000000">
        <w:rPr>
          <w:rtl w:val="0"/>
        </w:rPr>
        <w:t xml:space="preserve"> respectivamente.</w:t>
      </w:r>
    </w:p>
    <w:p w:rsidR="00000000" w:rsidDel="00000000" w:rsidP="00000000" w:rsidRDefault="00000000" w:rsidRPr="00000000" w14:paraId="00000029">
      <w:pPr>
        <w:spacing w:line="480" w:lineRule="auto"/>
        <w:ind w:left="0" w:firstLine="0"/>
        <w:jc w:val="both"/>
        <w:rPr>
          <w:b w:val="1"/>
          <w:bCs w:val="1"/>
        </w:rPr>
      </w:pPr>
      <w:r w:rsidDel="00000000" w:rsidR="00000000" w:rsidRPr="00000000">
        <w:rPr>
          <w:b w:val="1"/>
          <w:bCs w:val="1"/>
          <w:rtl w:val="0"/>
        </w:rPr>
        <w:t xml:space="preserve">Cuestionarios</w:t>
      </w:r>
    </w:p>
    <w:p w:rsidR="00000000" w:rsidDel="00000000" w:rsidP="00000000" w:rsidRDefault="00000000" w:rsidRPr="00000000" w14:paraId="0000002A">
      <w:pPr>
        <w:spacing w:line="480" w:lineRule="auto"/>
        <w:ind w:firstLine="720"/>
        <w:jc w:val="both"/>
        <w:rPr/>
      </w:pPr>
      <w:r w:rsidDel="00000000" w:rsidR="00000000" w:rsidRPr="00000000">
        <w:rPr>
          <w:rtl w:val="0"/>
        </w:rPr>
        <w:t xml:space="preserve">Se utilizará el cuestionario AUDIT en su versión chilena (Alvarado et al., 2009). Contiene 10 preguntas que recogen la cantidad y frecuencia del uso de alcohol del participante. Viene con una tabla de equivalencias que estandariza las unidades de alcohol de manera que sea sencillo comparar entre distintas formas de consumir alcohol. La encuesta es auto aplicada y permite discriminar el consumo riesgoso y consumo perjudicial. El objetivo de esta encuesta es poder identificar participantes con altos consumos de alcohol y poder excluir participantes que puedan presentar un consumo perjudicial. El alfa de Cronbach de esta prueba es 0,93 y el coeficiente de correlación intraclase fue de 0,97 (alta validez). </w:t>
      </w:r>
      <w:r w:rsidDel="00000000" w:rsidR="00000000" w:rsidRPr="00000000">
        <w:rPr>
          <w:rtl w:val="0"/>
        </w:rPr>
        <w:t xml:space="preserve">El puntaje de corte es de 6 o más puntos para consumo riesgoso y 9 o más para consumo perjudicial y dependencia (Alvarado et al, 2009). Eliminando a las personas que tengan 9 o más. Estos puntajes aplican para puntaje total global (no hay diferenciación por sexo).</w:t>
      </w:r>
    </w:p>
    <w:p w:rsidR="00000000" w:rsidDel="00000000" w:rsidP="00000000" w:rsidRDefault="00000000" w:rsidRPr="00000000" w14:paraId="0000002B">
      <w:pPr>
        <w:spacing w:line="480" w:lineRule="auto"/>
        <w:ind w:firstLine="720"/>
        <w:jc w:val="both"/>
        <w:rPr/>
      </w:pPr>
      <w:r w:rsidDel="00000000" w:rsidR="00000000" w:rsidRPr="00000000">
        <w:rPr>
          <w:rtl w:val="0"/>
        </w:rPr>
        <w:t xml:space="preserve">Respecto al consumo de tabaco, se utilizará el cuestionario Fagerstrom Test for Cigarette Dependence (FTCD) para medir la dependencia de consumo de tabaco de cada persona. Contiene 6 preguntas que dan una medición del consumo diario de cigarrillos de tabaco por persona. Actualmente contamos con una validación peruana (Arias-Gallegos et al., 2018), por lo que se haría necesario obtener medidas de confiabilidad (alfa de Cronbach u ordinal) y validez. Este instrumento tiene un solo factor cuyos ítems tienen cargas factoriales de 0.613 a 0.874 y una confiabilidad de alfa de Cronbach = 0.96. El puntaje de corte es de 2.5 o superior que indica dependencia a la nicotina.</w:t>
      </w:r>
    </w:p>
    <w:p w:rsidR="00000000" w:rsidDel="00000000" w:rsidP="00000000" w:rsidRDefault="00000000" w:rsidRPr="00000000" w14:paraId="0000002C">
      <w:pPr>
        <w:spacing w:line="480" w:lineRule="auto"/>
        <w:ind w:firstLine="720"/>
        <w:jc w:val="both"/>
        <w:rPr/>
      </w:pPr>
      <w:r w:rsidDel="00000000" w:rsidR="00000000" w:rsidRPr="00000000">
        <w:rPr>
          <w:rtl w:val="0"/>
        </w:rPr>
        <w:t xml:space="preserve">Por otro lado, se utilizará el cuestionario Eating Disorder-15 (ED-15), en una reciente validación chilena (Compte et al., 2023), que permitirá tamizar por posibles trastornos alimentarios. Si bien este estudio no presenta puntajes de corte ya que no se hizo con una población clínica se puede utilizar otros puntajes de corte a modo de referencia. El puntaje de corte que se puede utilizar es el global propuesto por Rodrigues et al (2019). Indicando que un puntaje total superior a 2,1 (mediante el cálculo de suma simple de toda la escala).</w:t>
      </w:r>
    </w:p>
    <w:p w:rsidR="00000000" w:rsidDel="00000000" w:rsidP="00000000" w:rsidRDefault="00000000" w:rsidRPr="00000000" w14:paraId="0000002D">
      <w:pPr>
        <w:spacing w:line="480" w:lineRule="auto"/>
        <w:ind w:firstLine="720"/>
        <w:jc w:val="both"/>
        <w:rPr/>
      </w:pPr>
      <w:r w:rsidDel="00000000" w:rsidR="00000000" w:rsidRPr="00000000">
        <w:rPr>
          <w:rtl w:val="0"/>
        </w:rPr>
        <w:t xml:space="preserve">Por último, se utilizará la Escala personalizada de cuánto estaría dispuesto a pagar </w:t>
      </w:r>
      <w:commentRangeStart w:id="0"/>
      <w:r w:rsidDel="00000000" w:rsidR="00000000" w:rsidRPr="00000000">
        <w:rPr>
          <w:rtl w:val="0"/>
        </w:rPr>
        <w:t xml:space="preserve">(Willingness To Pay en inglés; WTP)”</w:t>
      </w:r>
      <w:commentRangeEnd w:id="0"/>
      <w:r w:rsidDel="00000000" w:rsidR="00000000" w:rsidRPr="00000000">
        <w:commentReference w:id="0"/>
      </w:r>
      <w:r w:rsidDel="00000000" w:rsidR="00000000" w:rsidRPr="00000000">
        <w:rPr>
          <w:i w:val="1"/>
          <w:iCs w:val="1"/>
          <w:rtl w:val="0"/>
        </w:rPr>
        <w:t xml:space="preserve"> </w:t>
      </w:r>
      <w:r w:rsidDel="00000000" w:rsidR="00000000" w:rsidRPr="00000000">
        <w:rPr>
          <w:rtl w:val="0"/>
        </w:rPr>
        <w:t xml:space="preserve">por una cantidad determinada de recompensa. Basada en el experimento de Manglani et al (2017), este cuestionario tiene por objetivo preguntar a los participantes</w:t>
      </w:r>
      <w:r w:rsidDel="00000000" w:rsidR="00000000" w:rsidRPr="00000000">
        <w:rPr>
          <w:rtl w:val="0"/>
        </w:rPr>
        <w:t xml:space="preserve"> cuánto estarían dispuestos a pagar por un sorbo de cerveza, un puff de cigarro y una cantidad determinada de su alimento preferido. Específicamente, se les pregunta cuánto estarían dispuestos a pagar por 1, 2, 3, 5, 8 y 10 unidades de su alimento favorito/puffs de cigarro/sorbos de cerveza. Para ello se les mostrará un continuo que ronda entre los 10 a 100 pesos. La cantidad de unidades de comida que se presenta en la fase de transferencia pavloviana-instrumental será equivalente al valor de un puff de cigarro o sorbo de cerveza. Por ejemplo si un participante estaría dispuesto a pagar 100 pesos por un sorbo de cerveza y 10 pesos por una unidad de papas fritas, se buscará dentro de su escala personalizada el valor equivalente al sorbo de cerveza. Por ejemplo, el participante estaría dispuesto a pagar 100 pesos por ocho unidades de papas fritas. Ese valor se pone en equivalencia con el sorbo de cerveza. En caso de que no hubiera una coincidencia perfecta, se utilizó el siguiente valor y número de alimentos más alto.</w:t>
      </w:r>
      <w:r w:rsidDel="00000000" w:rsidR="00000000" w:rsidRPr="00000000">
        <w:rPr>
          <w:rtl w:val="0"/>
        </w:rPr>
        <w:t xml:space="preserve"> Esta información se aplicará durante la fase de transferencia instrumental-pavloviana.</w:t>
      </w:r>
      <w:r w:rsidDel="00000000" w:rsidR="00000000" w:rsidRPr="00000000">
        <w:rPr>
          <w:rtl w:val="0"/>
        </w:rPr>
      </w:r>
    </w:p>
    <w:p w:rsidR="00000000" w:rsidDel="00000000" w:rsidP="00000000" w:rsidRDefault="00000000" w:rsidRPr="00000000" w14:paraId="0000002E">
      <w:pPr>
        <w:spacing w:line="480" w:lineRule="auto"/>
        <w:ind w:left="0" w:firstLine="0"/>
        <w:jc w:val="both"/>
        <w:rPr>
          <w:b w:val="1"/>
          <w:bCs w:val="1"/>
        </w:rPr>
      </w:pPr>
      <w:r w:rsidDel="00000000" w:rsidR="00000000" w:rsidRPr="00000000">
        <w:rPr>
          <w:b w:val="1"/>
          <w:bCs w:val="1"/>
          <w:rtl w:val="0"/>
        </w:rPr>
        <w:t xml:space="preserve">Procedimiento</w:t>
      </w:r>
    </w:p>
    <w:p w:rsidR="00000000" w:rsidDel="00000000" w:rsidP="00000000" w:rsidRDefault="00000000" w:rsidRPr="00000000" w14:paraId="0000002F">
      <w:pPr>
        <w:spacing w:line="480" w:lineRule="auto"/>
        <w:ind w:firstLine="720"/>
        <w:jc w:val="both"/>
        <w:rPr/>
      </w:pPr>
      <w:r w:rsidDel="00000000" w:rsidR="00000000" w:rsidRPr="00000000">
        <w:rPr>
          <w:rtl w:val="0"/>
        </w:rPr>
        <w:t xml:space="preserve">Se ubicarán a los sujetos dentro de una sala en donde se distribuirán las tablets a cada uno de los participantes. La asignación al grupo control y al grupo experimental será aleatoria. La intervención se divide en dos sesiones. En la primera se evaluará la historia de uso de drogas y alimentos del sujeto para asegurarse de que es adecuado para el experimento. En la segunda sesión se realizará la sesión instrumental.</w:t>
      </w:r>
    </w:p>
    <w:p w:rsidR="00000000" w:rsidDel="00000000" w:rsidP="00000000" w:rsidRDefault="00000000" w:rsidRPr="00000000" w14:paraId="00000030">
      <w:pPr>
        <w:spacing w:line="480" w:lineRule="auto"/>
        <w:ind w:firstLine="720"/>
        <w:jc w:val="both"/>
        <w:rPr/>
      </w:pPr>
      <w:r w:rsidDel="00000000" w:rsidR="00000000" w:rsidRPr="00000000">
        <w:rPr>
          <w:rtl w:val="0"/>
        </w:rPr>
        <w:t xml:space="preserve">En la sesión </w:t>
      </w:r>
      <w:commentRangeStart w:id="1"/>
      <w:r w:rsidDel="00000000" w:rsidR="00000000" w:rsidRPr="00000000">
        <w:rPr>
          <w:rtl w:val="0"/>
        </w:rPr>
        <w:t xml:space="preserve">1 </w:t>
      </w:r>
      <w:commentRangeEnd w:id="1"/>
      <w:r w:rsidDel="00000000" w:rsidR="00000000" w:rsidRPr="00000000">
        <w:commentReference w:id="1"/>
      </w:r>
      <w:r w:rsidDel="00000000" w:rsidR="00000000" w:rsidRPr="00000000">
        <w:rPr>
          <w:rtl w:val="0"/>
        </w:rPr>
        <w:t xml:space="preserve">cada sujeto se sienta frente a </w:t>
      </w:r>
      <w:r w:rsidDel="00000000" w:rsidR="00000000" w:rsidRPr="00000000">
        <w:rPr>
          <w:rtl w:val="0"/>
        </w:rPr>
        <w:t xml:space="preserve">una tablet donde primero leerá el consentimiento informado y aceptará o declinará participar en la investigación. Luego responderá los cuestionarios AUDIT, FTCD y ED-15 en pantalla para obtener sus hábitos de consumo de drogas, preferencias de comida y, además, filtrar por uso problemático de alcohol y posible trastorno de alimentación.  En caso que el sistema detecte que en un cuestionario o más un sujeto obtenga un puntaje por sobre el puntaje de corte aparecerá en pantalla la siguiente instrucción “</w:t>
      </w:r>
      <w:r w:rsidDel="00000000" w:rsidR="00000000" w:rsidRPr="00000000">
        <w:rPr>
          <w:i w:val="1"/>
          <w:iCs w:val="1"/>
          <w:rtl w:val="0"/>
        </w:rPr>
        <w:t xml:space="preserve">Muchas gracias por sus respuestas.</w:t>
      </w:r>
      <w:r w:rsidDel="00000000" w:rsidR="00000000" w:rsidRPr="00000000">
        <w:rPr>
          <w:rtl w:val="0"/>
        </w:rPr>
        <w:t xml:space="preserve"> </w:t>
      </w:r>
      <w:r w:rsidDel="00000000" w:rsidR="00000000" w:rsidRPr="00000000">
        <w:rPr>
          <w:i w:val="1"/>
          <w:iCs w:val="1"/>
          <w:rtl w:val="0"/>
        </w:rPr>
        <w:t xml:space="preserve">Por favor, llame al investigador</w:t>
      </w:r>
      <w:r w:rsidDel="00000000" w:rsidR="00000000" w:rsidRPr="00000000">
        <w:rPr>
          <w:rtl w:val="0"/>
        </w:rPr>
        <w:t xml:space="preserve">”. El investigador acudirá al sujeto y lo contactará por correo electrónico para otro día para darle el breve feedback de los resultados obtenidos en los cuestionarios y le orientará a qué servicios estatales puede acudir para tratar su sintomatología. En caso que el sistema no arroje alerta, se procederá con la investigación.</w:t>
      </w:r>
    </w:p>
    <w:p w:rsidR="00000000" w:rsidDel="00000000" w:rsidP="00000000" w:rsidRDefault="00000000" w:rsidRPr="00000000" w14:paraId="00000031">
      <w:pPr>
        <w:spacing w:line="480" w:lineRule="auto"/>
        <w:ind w:firstLine="720"/>
        <w:jc w:val="both"/>
        <w:rPr/>
      </w:pPr>
      <w:r w:rsidDel="00000000" w:rsidR="00000000" w:rsidRPr="00000000">
        <w:rPr>
          <w:rtl w:val="0"/>
        </w:rPr>
        <w:t xml:space="preserve">Posteriormente, en pantalla los participantes tendrán que marcar en una escala tipo</w:t>
      </w:r>
      <w:hyperlink r:id="rId8">
        <w:r w:rsidDel="00000000" w:rsidR="00000000" w:rsidRPr="00000000">
          <w:rPr>
            <w:color w:val="1155cc"/>
            <w:u w:val="single"/>
            <w:rtl w:val="0"/>
          </w:rPr>
          <w:t xml:space="preserve"> Likert </w:t>
        </w:r>
      </w:hyperlink>
      <w:r w:rsidDel="00000000" w:rsidR="00000000" w:rsidRPr="00000000">
        <w:rPr>
          <w:rtl w:val="0"/>
        </w:rPr>
        <w:t xml:space="preserve">de 1 a 7 que tanto le gustan una serie de recompensas entre comidas y drogas: M&amp;M, galletas dulces (Kuky), papas fritas (Lays), galletas saladas, ramitas, fumar un puff de cigarro y beber un sorbo de cerveza. En donde un 1 indica que no les gusta nada, un 4 indica que les gusta más o menos, y un 7 que les gusta muchísimo. El resultado permitirá elegir la comida más preferida para el sujeto y será incluída dentro de los experimentos para generar un mayor efecto apetitivo. En caso que hubiese dos o más comidas que son igualmente de preferidas se escogerá una de estas al azar. </w:t>
      </w:r>
      <w:r w:rsidDel="00000000" w:rsidR="00000000" w:rsidRPr="00000000">
        <w:rPr>
          <w:rtl w:val="0"/>
        </w:rPr>
      </w:r>
    </w:p>
    <w:p w:rsidR="00000000" w:rsidDel="00000000" w:rsidP="00000000" w:rsidRDefault="00000000" w:rsidRPr="00000000" w14:paraId="00000032">
      <w:pPr>
        <w:spacing w:line="480" w:lineRule="auto"/>
        <w:ind w:firstLine="720"/>
        <w:jc w:val="both"/>
        <w:rPr/>
      </w:pPr>
      <w:r w:rsidDel="00000000" w:rsidR="00000000" w:rsidRPr="00000000">
        <w:rPr>
          <w:rtl w:val="0"/>
        </w:rPr>
        <w:t xml:space="preserve">En la Sesión 2, se les instruirá a los participantes a</w:t>
      </w:r>
      <w:r w:rsidDel="00000000" w:rsidR="00000000" w:rsidRPr="00000000">
        <w:rPr>
          <w:rtl w:val="0"/>
        </w:rPr>
        <w:t xml:space="preserve"> no fumar ni beber alcohol durante 12 horas antes del experimento.</w:t>
      </w:r>
      <w:r w:rsidDel="00000000" w:rsidR="00000000" w:rsidRPr="00000000">
        <w:rPr>
          <w:rtl w:val="0"/>
        </w:rPr>
        <w:t xml:space="preserve"> </w:t>
      </w:r>
      <w:r w:rsidDel="00000000" w:rsidR="00000000" w:rsidRPr="00000000">
        <w:rPr>
          <w:rtl w:val="0"/>
        </w:rPr>
        <w:t xml:space="preserve">Al llegar se les entregará una tablet, en donde ingresarán su usuario para que cargue su sesión con toda la información respecto a este. </w:t>
      </w:r>
      <w:r w:rsidDel="00000000" w:rsidR="00000000" w:rsidRPr="00000000">
        <w:rPr>
          <w:rtl w:val="0"/>
        </w:rPr>
        <w:t xml:space="preserve">Una vez realizado, se comenzará con la sesión experimental.</w:t>
      </w:r>
      <w:r w:rsidDel="00000000" w:rsidR="00000000" w:rsidRPr="00000000">
        <w:rPr>
          <w:rtl w:val="0"/>
        </w:rPr>
        <w:t xml:space="preserve"> La fase de devaluación, explicada en la sección a continuación, se realizará en un espacio en donde se encontrará presente los investigadores.. </w:t>
      </w:r>
      <w:r w:rsidDel="00000000" w:rsidR="00000000" w:rsidRPr="00000000">
        <w:rPr>
          <w:rtl w:val="0"/>
        </w:rPr>
      </w:r>
    </w:p>
    <w:p w:rsidR="00000000" w:rsidDel="00000000" w:rsidP="00000000" w:rsidRDefault="00000000" w:rsidRPr="00000000" w14:paraId="00000033">
      <w:pPr>
        <w:spacing w:line="480" w:lineRule="auto"/>
        <w:rPr/>
      </w:pPr>
      <w:r w:rsidDel="00000000" w:rsidR="00000000" w:rsidRPr="00000000">
        <w:rPr>
          <w:rtl w:val="0"/>
        </w:rPr>
      </w:r>
    </w:p>
    <w:p w:rsidR="00000000" w:rsidDel="00000000" w:rsidP="00000000" w:rsidRDefault="00000000" w:rsidRPr="00000000" w14:paraId="00000034">
      <w:pPr>
        <w:spacing w:line="480" w:lineRule="auto"/>
        <w:ind w:left="0" w:firstLine="0"/>
        <w:jc w:val="both"/>
        <w:rPr>
          <w:b w:val="1"/>
          <w:bCs w:val="1"/>
        </w:rPr>
      </w:pPr>
      <w:r w:rsidDel="00000000" w:rsidR="00000000" w:rsidRPr="00000000">
        <w:rPr>
          <w:b w:val="1"/>
          <w:bCs w:val="1"/>
          <w:rtl w:val="0"/>
        </w:rPr>
        <w:t xml:space="preserve">Diseño e implementación del experimento</w:t>
      </w:r>
      <w:r w:rsidDel="00000000" w:rsidR="00000000" w:rsidRPr="00000000">
        <w:rPr>
          <w:rtl w:val="0"/>
        </w:rPr>
      </w:r>
    </w:p>
    <w:p w:rsidR="00000000" w:rsidDel="00000000" w:rsidP="00000000" w:rsidRDefault="00000000" w:rsidRPr="00000000" w14:paraId="00000035">
      <w:pPr>
        <w:widowControl w:val="0"/>
        <w:spacing w:after="0" w:line="480" w:lineRule="auto"/>
        <w:ind w:left="0" w:firstLine="0"/>
        <w:jc w:val="both"/>
        <w:rPr>
          <w:b w:val="1"/>
          <w:bCs w:val="1"/>
        </w:rPr>
      </w:pPr>
      <w:r w:rsidDel="00000000" w:rsidR="00000000" w:rsidRPr="00000000">
        <w:rPr>
          <w:b w:val="1"/>
          <w:bCs w:val="1"/>
          <w:rtl w:val="0"/>
        </w:rPr>
        <w:t xml:space="preserve">Experimento 1</w:t>
      </w:r>
    </w:p>
    <w:p w:rsidR="00000000" w:rsidDel="00000000" w:rsidP="00000000" w:rsidRDefault="00000000" w:rsidRPr="00000000" w14:paraId="00000036">
      <w:pPr>
        <w:widowControl w:val="0"/>
        <w:spacing w:after="240" w:line="480" w:lineRule="auto"/>
        <w:jc w:val="both"/>
        <w:rPr>
          <w:i w:val="1"/>
          <w:iCs w:val="1"/>
        </w:rPr>
        <w:sectPr>
          <w:headerReference r:id="rId9" w:type="default"/>
          <w:pgSz w:h="15840" w:w="12240" w:orient="portrait"/>
          <w:pgMar w:bottom="1417.3228346456694" w:top="1417.3228346456694" w:left="1417.3228346456694" w:right="1417.3228346456694" w:header="720" w:footer="720"/>
          <w:pgNumType w:start="1"/>
        </w:sectPr>
      </w:pPr>
      <w:r w:rsidDel="00000000" w:rsidR="00000000" w:rsidRPr="00000000">
        <w:rPr>
          <w:rtl w:val="0"/>
        </w:rPr>
        <w:t xml:space="preserve">Probará si una clave de droga puede generar</w:t>
      </w:r>
      <w:r w:rsidDel="00000000" w:rsidR="00000000" w:rsidRPr="00000000">
        <w:rPr>
          <w:b w:val="1"/>
          <w:bCs w:val="1"/>
          <w:rtl w:val="0"/>
        </w:rPr>
        <w:t xml:space="preserve"> TPI general</w:t>
      </w:r>
      <w:r w:rsidDel="00000000" w:rsidR="00000000" w:rsidRPr="00000000">
        <w:rPr>
          <w:rtl w:val="0"/>
        </w:rPr>
        <w:t xml:space="preserve"> cuando esta clave no ha estado presente en la etapa instrumental, comparado con un grupo donde esta clave es una clave de comida, en una tarea instrumental recompensada con droga. El experimento de seguimiento incluirá la devaluación después de la prueba de transferencia y un re-test para probar los efectos de la transferencia.</w:t>
      </w:r>
      <w:r w:rsidDel="00000000" w:rsidR="00000000" w:rsidRPr="00000000">
        <w:rPr>
          <w:rtl w:val="0"/>
        </w:rPr>
        <w:t xml:space="preserve"> </w:t>
      </w:r>
      <w:r w:rsidDel="00000000" w:rsidR="00000000" w:rsidRPr="00000000">
        <w:rPr>
          <w:rtl w:val="0"/>
        </w:rPr>
        <w:t xml:space="preserve">Previo al comienzo de este experimento será necesario que los participantes hayan sido filtrados acorde a las características de la muestra e igualmente que hayan pasado por los procesos de realización de cuestionarios correspondientes a este estudio AUDIT y FTCD. </w:t>
      </w:r>
      <w:r w:rsidDel="00000000" w:rsidR="00000000" w:rsidRPr="00000000">
        <w:rPr>
          <w:rtl w:val="0"/>
        </w:rPr>
      </w:r>
    </w:p>
    <w:p w:rsidR="00000000" w:rsidDel="00000000" w:rsidP="00000000" w:rsidRDefault="00000000" w:rsidRPr="00000000" w14:paraId="00000037">
      <w:pPr>
        <w:widowControl w:val="0"/>
        <w:spacing w:after="0" w:line="480" w:lineRule="auto"/>
        <w:ind w:left="0" w:firstLine="0"/>
        <w:rPr>
          <w:b w:val="1"/>
          <w:bCs w:val="1"/>
        </w:rPr>
      </w:pPr>
      <w:r w:rsidDel="00000000" w:rsidR="00000000" w:rsidRPr="00000000">
        <w:rPr>
          <w:b w:val="1"/>
          <w:bCs w:val="1"/>
          <w:rtl w:val="0"/>
        </w:rPr>
        <w:t xml:space="preserve">Tabla 1</w:t>
      </w:r>
    </w:p>
    <w:p w:rsidR="00000000" w:rsidDel="00000000" w:rsidP="00000000" w:rsidRDefault="00000000" w:rsidRPr="00000000" w14:paraId="00000038">
      <w:pPr>
        <w:widowControl w:val="0"/>
        <w:spacing w:after="0" w:line="480" w:lineRule="auto"/>
        <w:ind w:left="0" w:firstLine="0"/>
        <w:rPr/>
      </w:pPr>
      <w:r w:rsidDel="00000000" w:rsidR="00000000" w:rsidRPr="00000000">
        <w:rPr>
          <w:i w:val="1"/>
          <w:iCs w:val="1"/>
          <w:rtl w:val="0"/>
        </w:rPr>
        <w:t xml:space="preserve">Experimento 1</w:t>
      </w:r>
      <w:r w:rsidDel="00000000" w:rsidR="00000000" w:rsidRPr="00000000">
        <w:rPr>
          <w:rtl w:val="0"/>
        </w:rPr>
      </w:r>
    </w:p>
    <w:tbl>
      <w:tblPr>
        <w:tblStyle w:val="Table1"/>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1620"/>
        <w:gridCol w:w="1785"/>
        <w:gridCol w:w="1455"/>
        <w:gridCol w:w="1620"/>
        <w:gridCol w:w="1620"/>
        <w:gridCol w:w="1620"/>
        <w:gridCol w:w="1620"/>
        <w:tblGridChange w:id="0">
          <w:tblGrid>
            <w:gridCol w:w="1620"/>
            <w:gridCol w:w="1620"/>
            <w:gridCol w:w="1785"/>
            <w:gridCol w:w="1455"/>
            <w:gridCol w:w="1620"/>
            <w:gridCol w:w="1620"/>
            <w:gridCol w:w="1620"/>
            <w:gridCol w:w="1620"/>
          </w:tblGrid>
        </w:tblGridChange>
      </w:tblGrid>
      <w:tr>
        <w:trPr>
          <w:cantSplit w:val="0"/>
          <w:trHeight w:val="746.953125" w:hRule="atLeast"/>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480" w:lineRule="auto"/>
              <w:ind w:left="0" w:firstLine="0"/>
              <w:jc w:val="center"/>
              <w:rPr>
                <w:b w:val="1"/>
                <w:bCs w:val="1"/>
              </w:rPr>
            </w:pPr>
            <w:r w:rsidDel="00000000" w:rsidR="00000000" w:rsidRPr="00000000">
              <w:rPr>
                <w:b w:val="1"/>
                <w:bCs w:val="1"/>
                <w:rtl w:val="0"/>
              </w:rPr>
              <w:t xml:space="preserve">Grupos</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480" w:lineRule="auto"/>
              <w:ind w:left="0" w:firstLine="0"/>
              <w:jc w:val="center"/>
              <w:rPr>
                <w:b w:val="1"/>
                <w:bCs w:val="1"/>
              </w:rPr>
            </w:pPr>
            <w:r w:rsidDel="00000000" w:rsidR="00000000" w:rsidRPr="00000000">
              <w:rPr>
                <w:b w:val="1"/>
                <w:bCs w:val="1"/>
                <w:rtl w:val="0"/>
              </w:rPr>
              <w:t xml:space="preserve">F. Pavloviana</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480" w:lineRule="auto"/>
              <w:ind w:left="0" w:firstLine="0"/>
              <w:jc w:val="center"/>
              <w:rPr>
                <w:b w:val="1"/>
                <w:bCs w:val="1"/>
              </w:rPr>
            </w:pPr>
            <w:r w:rsidDel="00000000" w:rsidR="00000000" w:rsidRPr="00000000">
              <w:rPr>
                <w:b w:val="1"/>
                <w:bCs w:val="1"/>
                <w:rtl w:val="0"/>
              </w:rPr>
              <w:t xml:space="preserve">F. instrumental</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480" w:lineRule="auto"/>
              <w:ind w:left="0" w:firstLine="0"/>
              <w:jc w:val="center"/>
              <w:rPr>
                <w:b w:val="1"/>
                <w:bCs w:val="1"/>
              </w:rPr>
            </w:pPr>
            <w:r w:rsidDel="00000000" w:rsidR="00000000" w:rsidRPr="00000000">
              <w:rPr>
                <w:b w:val="1"/>
                <w:bCs w:val="1"/>
                <w:rtl w:val="0"/>
              </w:rPr>
              <w:t xml:space="preserve">PIT</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480" w:lineRule="auto"/>
              <w:ind w:left="0" w:firstLine="0"/>
              <w:jc w:val="center"/>
              <w:rPr>
                <w:b w:val="1"/>
                <w:bCs w:val="1"/>
              </w:rPr>
            </w:pPr>
            <w:r w:rsidDel="00000000" w:rsidR="00000000" w:rsidRPr="00000000">
              <w:rPr>
                <w:b w:val="1"/>
                <w:bCs w:val="1"/>
                <w:rtl w:val="0"/>
              </w:rPr>
              <w:t xml:space="preserve">Hipótesis R1</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480" w:lineRule="auto"/>
              <w:ind w:left="0" w:firstLine="0"/>
              <w:jc w:val="center"/>
              <w:rPr>
                <w:b w:val="1"/>
                <w:bCs w:val="1"/>
              </w:rPr>
            </w:pPr>
            <w:r w:rsidDel="00000000" w:rsidR="00000000" w:rsidRPr="00000000">
              <w:rPr>
                <w:b w:val="1"/>
                <w:bCs w:val="1"/>
                <w:rtl w:val="0"/>
              </w:rPr>
              <w:t xml:space="preserve">Devaluación</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480" w:lineRule="auto"/>
              <w:ind w:left="0" w:firstLine="0"/>
              <w:jc w:val="center"/>
              <w:rPr>
                <w:b w:val="1"/>
                <w:bCs w:val="1"/>
              </w:rPr>
            </w:pPr>
            <w:r w:rsidDel="00000000" w:rsidR="00000000" w:rsidRPr="00000000">
              <w:rPr>
                <w:b w:val="1"/>
                <w:bCs w:val="1"/>
                <w:rtl w:val="0"/>
              </w:rPr>
              <w:t xml:space="preserve">Re-test PIT</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480" w:lineRule="auto"/>
              <w:ind w:left="0" w:firstLine="0"/>
              <w:jc w:val="center"/>
              <w:rPr>
                <w:b w:val="1"/>
                <w:bCs w:val="1"/>
              </w:rPr>
            </w:pPr>
            <w:r w:rsidDel="00000000" w:rsidR="00000000" w:rsidRPr="00000000">
              <w:rPr>
                <w:b w:val="1"/>
                <w:bCs w:val="1"/>
                <w:rtl w:val="0"/>
              </w:rPr>
              <w:t xml:space="preserve">Hipótesis R1</w:t>
            </w:r>
          </w:p>
        </w:tc>
      </w:tr>
      <w:tr>
        <w:trPr>
          <w:cantSplit w:val="0"/>
          <w:trHeight w:val="440" w:hRule="atLeast"/>
          <w:tblHeader w:val="0"/>
        </w:trPr>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1">
            <w:pPr>
              <w:widowControl w:val="0"/>
              <w:spacing w:line="480" w:lineRule="auto"/>
              <w:ind w:left="0" w:firstLine="0"/>
              <w:jc w:val="center"/>
              <w:rPr>
                <w:b w:val="1"/>
                <w:bCs w:val="1"/>
                <w:i w:val="1"/>
                <w:iCs w:val="1"/>
              </w:rPr>
            </w:pPr>
            <w:r w:rsidDel="00000000" w:rsidR="00000000" w:rsidRPr="00000000">
              <w:rPr>
                <w:b w:val="1"/>
                <w:bCs w:val="1"/>
                <w:i w:val="1"/>
                <w:iCs w:val="1"/>
                <w:rtl w:val="0"/>
              </w:rPr>
              <w:t xml:space="preserve">Experimental</w:t>
            </w:r>
          </w:p>
        </w:tc>
        <w:tc>
          <w:tcPr>
            <w:vMerge w:val="restart"/>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2">
            <w:pPr>
              <w:widowControl w:val="0"/>
              <w:spacing w:line="480" w:lineRule="auto"/>
              <w:ind w:firstLine="0"/>
              <w:jc w:val="center"/>
              <w:rPr/>
            </w:pPr>
            <w:r w:rsidDel="00000000" w:rsidR="00000000" w:rsidRPr="00000000">
              <w:rPr>
                <w:rtl w:val="0"/>
              </w:rPr>
              <w:t xml:space="preserve">S1 -&gt; O1A</w:t>
            </w:r>
          </w:p>
          <w:p w:rsidR="00000000" w:rsidDel="00000000" w:rsidP="00000000" w:rsidRDefault="00000000" w:rsidRPr="00000000" w14:paraId="00000043">
            <w:pPr>
              <w:widowControl w:val="0"/>
              <w:spacing w:line="480" w:lineRule="auto"/>
              <w:ind w:firstLine="0"/>
              <w:jc w:val="center"/>
              <w:rPr/>
            </w:pPr>
            <w:r w:rsidDel="00000000" w:rsidR="00000000" w:rsidRPr="00000000">
              <w:rPr>
                <w:rtl w:val="0"/>
              </w:rPr>
              <w:t xml:space="preserve">S2 -&gt; O2</w:t>
            </w:r>
          </w:p>
          <w:p w:rsidR="00000000" w:rsidDel="00000000" w:rsidP="00000000" w:rsidRDefault="00000000" w:rsidRPr="00000000" w14:paraId="00000044">
            <w:pPr>
              <w:widowControl w:val="0"/>
              <w:spacing w:line="480" w:lineRule="auto"/>
              <w:ind w:firstLine="0"/>
              <w:jc w:val="center"/>
              <w:rPr/>
            </w:pPr>
            <w:r w:rsidDel="00000000" w:rsidR="00000000" w:rsidRPr="00000000">
              <w:rPr>
                <w:rtl w:val="0"/>
              </w:rPr>
              <w:t xml:space="preserve">S3 -&gt; O3</w:t>
            </w:r>
          </w:p>
          <w:p w:rsidR="00000000" w:rsidDel="00000000" w:rsidP="00000000" w:rsidRDefault="00000000" w:rsidRPr="00000000" w14:paraId="00000045">
            <w:pPr>
              <w:widowControl w:val="0"/>
              <w:spacing w:line="480" w:lineRule="auto"/>
              <w:ind w:firstLine="0"/>
              <w:jc w:val="center"/>
              <w:rPr/>
            </w:pPr>
            <w:r w:rsidDel="00000000" w:rsidR="00000000" w:rsidRPr="00000000">
              <w:rPr>
                <w:rtl w:val="0"/>
              </w:rPr>
              <w:t xml:space="preserve">S4</w:t>
            </w:r>
          </w:p>
        </w:tc>
        <w:tc>
          <w:tcPr>
            <w:tcBorders>
              <w:left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6">
            <w:pPr>
              <w:widowControl w:val="0"/>
              <w:spacing w:line="480" w:lineRule="auto"/>
              <w:ind w:firstLine="0"/>
              <w:jc w:val="center"/>
              <w:rPr>
                <w:b w:val="1"/>
                <w:bCs w:val="1"/>
              </w:rPr>
            </w:pPr>
            <w:r w:rsidDel="00000000" w:rsidR="00000000" w:rsidRPr="00000000">
              <w:rPr>
                <w:rtl w:val="0"/>
              </w:rPr>
              <w:t xml:space="preserve">R1 -&gt; </w:t>
            </w:r>
            <w:r w:rsidDel="00000000" w:rsidR="00000000" w:rsidRPr="00000000">
              <w:rPr>
                <w:b w:val="1"/>
                <w:bCs w:val="1"/>
                <w:rtl w:val="0"/>
              </w:rPr>
              <w:t xml:space="preserve">O1B</w:t>
            </w:r>
          </w:p>
          <w:p w:rsidR="00000000" w:rsidDel="00000000" w:rsidP="00000000" w:rsidRDefault="00000000" w:rsidRPr="00000000" w14:paraId="00000047">
            <w:pPr>
              <w:widowControl w:val="0"/>
              <w:spacing w:line="480" w:lineRule="auto"/>
              <w:ind w:firstLine="0"/>
              <w:jc w:val="center"/>
              <w:rPr/>
            </w:pPr>
            <w:r w:rsidDel="00000000" w:rsidR="00000000" w:rsidRPr="00000000">
              <w:rPr>
                <w:rtl w:val="0"/>
              </w:rPr>
              <w:t xml:space="preserve">R2 -&gt; O2</w:t>
            </w:r>
          </w:p>
          <w:p w:rsidR="00000000" w:rsidDel="00000000" w:rsidP="00000000" w:rsidRDefault="00000000" w:rsidRPr="00000000" w14:paraId="00000048">
            <w:pPr>
              <w:widowControl w:val="0"/>
              <w:spacing w:line="480" w:lineRule="auto"/>
              <w:ind w:firstLine="0"/>
              <w:jc w:val="center"/>
              <w:rPr/>
            </w:pPr>
            <w:r w:rsidDel="00000000" w:rsidR="00000000" w:rsidRPr="00000000">
              <w:rPr>
                <w:rtl w:val="0"/>
              </w:rPr>
              <w:t xml:space="preserve">R3 -&gt; O3</w:t>
            </w:r>
          </w:p>
        </w:tc>
        <w:tc>
          <w:tcPr>
            <w:vMerge w:val="restart"/>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9">
            <w:pPr>
              <w:widowControl w:val="0"/>
              <w:spacing w:line="480" w:lineRule="auto"/>
              <w:ind w:firstLine="0"/>
              <w:jc w:val="center"/>
              <w:rPr/>
            </w:pPr>
            <w:r w:rsidDel="00000000" w:rsidR="00000000" w:rsidRPr="00000000">
              <w:rPr>
                <w:rtl w:val="0"/>
              </w:rPr>
              <w:t xml:space="preserve">S1: R1/R3</w:t>
            </w:r>
          </w:p>
          <w:p w:rsidR="00000000" w:rsidDel="00000000" w:rsidP="00000000" w:rsidRDefault="00000000" w:rsidRPr="00000000" w14:paraId="0000004A">
            <w:pPr>
              <w:widowControl w:val="0"/>
              <w:spacing w:line="480" w:lineRule="auto"/>
              <w:ind w:firstLine="0"/>
              <w:jc w:val="center"/>
              <w:rPr/>
            </w:pPr>
            <w:r w:rsidDel="00000000" w:rsidR="00000000" w:rsidRPr="00000000">
              <w:rPr>
                <w:rtl w:val="0"/>
              </w:rPr>
              <w:t xml:space="preserve">S2: R1/R3</w:t>
            </w:r>
          </w:p>
          <w:p w:rsidR="00000000" w:rsidDel="00000000" w:rsidP="00000000" w:rsidRDefault="00000000" w:rsidRPr="00000000" w14:paraId="0000004B">
            <w:pPr>
              <w:widowControl w:val="0"/>
              <w:spacing w:line="480" w:lineRule="auto"/>
              <w:ind w:firstLine="0"/>
              <w:jc w:val="center"/>
              <w:rPr/>
            </w:pPr>
            <w:r w:rsidDel="00000000" w:rsidR="00000000" w:rsidRPr="00000000">
              <w:rPr>
                <w:rtl w:val="0"/>
              </w:rPr>
              <w:t xml:space="preserve">S3: R1/R3</w:t>
            </w:r>
          </w:p>
        </w:tc>
        <w:tc>
          <w:tcPr>
            <w:tcBorders>
              <w:left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C">
            <w:pPr>
              <w:widowControl w:val="0"/>
              <w:spacing w:line="480" w:lineRule="auto"/>
              <w:ind w:firstLine="0"/>
              <w:jc w:val="center"/>
              <w:rPr/>
            </w:pPr>
            <w:r w:rsidDel="00000000" w:rsidR="00000000" w:rsidRPr="00000000">
              <w:rPr>
                <w:rtl w:val="0"/>
              </w:rPr>
              <w:t xml:space="preserve">S1: Mayor</w:t>
            </w:r>
          </w:p>
          <w:p w:rsidR="00000000" w:rsidDel="00000000" w:rsidP="00000000" w:rsidRDefault="00000000" w:rsidRPr="00000000" w14:paraId="0000004D">
            <w:pPr>
              <w:widowControl w:val="0"/>
              <w:spacing w:line="480" w:lineRule="auto"/>
              <w:ind w:firstLine="0"/>
              <w:jc w:val="center"/>
              <w:rPr/>
            </w:pPr>
            <w:r w:rsidDel="00000000" w:rsidR="00000000" w:rsidRPr="00000000">
              <w:rPr>
                <w:rtl w:val="0"/>
              </w:rPr>
              <w:t xml:space="preserve">S2: Menor</w:t>
            </w:r>
          </w:p>
        </w:tc>
        <w:tc>
          <w:tcPr>
            <w:vMerge w:val="restart"/>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E">
            <w:pPr>
              <w:widowControl w:val="0"/>
              <w:spacing w:line="480" w:lineRule="auto"/>
              <w:ind w:firstLine="0"/>
              <w:jc w:val="center"/>
              <w:rPr/>
            </w:pPr>
            <w:r w:rsidDel="00000000" w:rsidR="00000000" w:rsidRPr="00000000">
              <w:rPr>
                <w:rtl w:val="0"/>
              </w:rPr>
              <w:t xml:space="preserve">O1A</w:t>
            </w:r>
          </w:p>
          <w:p w:rsidR="00000000" w:rsidDel="00000000" w:rsidP="00000000" w:rsidRDefault="00000000" w:rsidRPr="00000000" w14:paraId="0000004F">
            <w:pPr>
              <w:widowControl w:val="0"/>
              <w:spacing w:line="480" w:lineRule="auto"/>
              <w:ind w:firstLine="0"/>
              <w:jc w:val="center"/>
              <w:rPr/>
            </w:pPr>
            <w:r w:rsidDel="00000000" w:rsidR="00000000" w:rsidRPr="00000000">
              <w:rPr>
                <w:rtl w:val="0"/>
              </w:rPr>
              <w:t xml:space="preserve">O2</w:t>
            </w:r>
          </w:p>
        </w:tc>
        <w:tc>
          <w:tcPr>
            <w:vMerge w:val="restart"/>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50">
            <w:pPr>
              <w:widowControl w:val="0"/>
              <w:spacing w:line="480" w:lineRule="auto"/>
              <w:ind w:firstLine="0"/>
              <w:jc w:val="center"/>
              <w:rPr/>
            </w:pPr>
            <w:r w:rsidDel="00000000" w:rsidR="00000000" w:rsidRPr="00000000">
              <w:rPr>
                <w:rtl w:val="0"/>
              </w:rPr>
              <w:t xml:space="preserve">S1: R1/R3</w:t>
            </w:r>
          </w:p>
          <w:p w:rsidR="00000000" w:rsidDel="00000000" w:rsidP="00000000" w:rsidRDefault="00000000" w:rsidRPr="00000000" w14:paraId="00000051">
            <w:pPr>
              <w:widowControl w:val="0"/>
              <w:spacing w:line="480" w:lineRule="auto"/>
              <w:ind w:firstLine="0"/>
              <w:jc w:val="center"/>
              <w:rPr/>
            </w:pPr>
            <w:r w:rsidDel="00000000" w:rsidR="00000000" w:rsidRPr="00000000">
              <w:rPr>
                <w:rtl w:val="0"/>
              </w:rPr>
              <w:t xml:space="preserve">S2: R1/R3</w:t>
            </w:r>
          </w:p>
          <w:p w:rsidR="00000000" w:rsidDel="00000000" w:rsidP="00000000" w:rsidRDefault="00000000" w:rsidRPr="00000000" w14:paraId="00000052">
            <w:pPr>
              <w:widowControl w:val="0"/>
              <w:spacing w:line="480" w:lineRule="auto"/>
              <w:ind w:firstLine="0"/>
              <w:jc w:val="center"/>
              <w:rPr/>
            </w:pPr>
            <w:r w:rsidDel="00000000" w:rsidR="00000000" w:rsidRPr="00000000">
              <w:rPr>
                <w:rtl w:val="0"/>
              </w:rPr>
              <w:t xml:space="preserve">S3: R1/R3</w:t>
            </w:r>
          </w:p>
        </w:tc>
        <w:tc>
          <w:tcPr>
            <w:tcBorders>
              <w:left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53">
            <w:pPr>
              <w:widowControl w:val="0"/>
              <w:spacing w:line="480" w:lineRule="auto"/>
              <w:ind w:firstLine="0"/>
              <w:jc w:val="center"/>
              <w:rPr/>
            </w:pPr>
            <w:r w:rsidDel="00000000" w:rsidR="00000000" w:rsidRPr="00000000">
              <w:rPr>
                <w:rtl w:val="0"/>
              </w:rPr>
              <w:t xml:space="preserve">S1: Mayor</w:t>
            </w:r>
          </w:p>
          <w:p w:rsidR="00000000" w:rsidDel="00000000" w:rsidP="00000000" w:rsidRDefault="00000000" w:rsidRPr="00000000" w14:paraId="00000054">
            <w:pPr>
              <w:widowControl w:val="0"/>
              <w:spacing w:line="480" w:lineRule="auto"/>
              <w:ind w:firstLine="0"/>
              <w:jc w:val="center"/>
              <w:rPr/>
            </w:pPr>
            <w:r w:rsidDel="00000000" w:rsidR="00000000" w:rsidRPr="00000000">
              <w:rPr>
                <w:rtl w:val="0"/>
              </w:rPr>
              <w:t xml:space="preserve">S2: Menor</w:t>
            </w:r>
          </w:p>
        </w:tc>
      </w:tr>
      <w:tr>
        <w:trPr>
          <w:cantSplit w:val="0"/>
          <w:trHeight w:val="440" w:hRule="atLeast"/>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55">
            <w:pPr>
              <w:widowControl w:val="0"/>
              <w:spacing w:line="480" w:lineRule="auto"/>
              <w:ind w:left="0" w:firstLine="0"/>
              <w:jc w:val="center"/>
              <w:rPr>
                <w:b w:val="1"/>
                <w:bCs w:val="1"/>
                <w:i w:val="1"/>
                <w:iCs w:val="1"/>
              </w:rPr>
            </w:pPr>
            <w:r w:rsidDel="00000000" w:rsidR="00000000" w:rsidRPr="00000000">
              <w:rPr>
                <w:b w:val="1"/>
                <w:bCs w:val="1"/>
                <w:i w:val="1"/>
                <w:iCs w:val="1"/>
                <w:rtl w:val="0"/>
              </w:rPr>
              <w:t xml:space="preserve">Control</w:t>
            </w:r>
          </w:p>
        </w:tc>
        <w:tc>
          <w:tcPr>
            <w:vMerge w:val="continue"/>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56">
            <w:pPr>
              <w:widowControl w:val="0"/>
              <w:spacing w:after="0" w:before="0" w:line="480" w:lineRule="auto"/>
              <w:ind w:left="0" w:firstLine="0"/>
              <w:rPr/>
            </w:pPr>
            <w:r w:rsidDel="00000000" w:rsidR="00000000" w:rsidRPr="00000000">
              <w:rPr>
                <w:rtl w:val="0"/>
              </w:rPr>
            </w:r>
          </w:p>
        </w:tc>
        <w:tc>
          <w:tcPr>
            <w:tcBorders>
              <w:left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57">
            <w:pPr>
              <w:widowControl w:val="0"/>
              <w:spacing w:line="480" w:lineRule="auto"/>
              <w:ind w:firstLine="0"/>
              <w:jc w:val="center"/>
              <w:rPr>
                <w:b w:val="1"/>
                <w:bCs w:val="1"/>
              </w:rPr>
            </w:pPr>
            <w:r w:rsidDel="00000000" w:rsidR="00000000" w:rsidRPr="00000000">
              <w:rPr>
                <w:rtl w:val="0"/>
              </w:rPr>
              <w:t xml:space="preserve">R1 -&gt; </w:t>
            </w:r>
            <w:r w:rsidDel="00000000" w:rsidR="00000000" w:rsidRPr="00000000">
              <w:rPr>
                <w:b w:val="1"/>
                <w:bCs w:val="1"/>
                <w:rtl w:val="0"/>
              </w:rPr>
              <w:t xml:space="preserve">O1A</w:t>
            </w:r>
          </w:p>
          <w:p w:rsidR="00000000" w:rsidDel="00000000" w:rsidP="00000000" w:rsidRDefault="00000000" w:rsidRPr="00000000" w14:paraId="00000058">
            <w:pPr>
              <w:widowControl w:val="0"/>
              <w:spacing w:line="480" w:lineRule="auto"/>
              <w:ind w:firstLine="0"/>
              <w:jc w:val="center"/>
              <w:rPr/>
            </w:pPr>
            <w:r w:rsidDel="00000000" w:rsidR="00000000" w:rsidRPr="00000000">
              <w:rPr>
                <w:rtl w:val="0"/>
              </w:rPr>
              <w:t xml:space="preserve">R2 -&gt; O2</w:t>
            </w:r>
          </w:p>
          <w:p w:rsidR="00000000" w:rsidDel="00000000" w:rsidP="00000000" w:rsidRDefault="00000000" w:rsidRPr="00000000" w14:paraId="00000059">
            <w:pPr>
              <w:widowControl w:val="0"/>
              <w:spacing w:line="480" w:lineRule="auto"/>
              <w:ind w:firstLine="0"/>
              <w:jc w:val="center"/>
              <w:rPr/>
            </w:pPr>
            <w:r w:rsidDel="00000000" w:rsidR="00000000" w:rsidRPr="00000000">
              <w:rPr>
                <w:rtl w:val="0"/>
              </w:rPr>
              <w:t xml:space="preserve">R3 -&gt; O3</w:t>
            </w:r>
          </w:p>
        </w:tc>
        <w:tc>
          <w:tcPr>
            <w:vMerge w:val="continue"/>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after="0" w:before="0" w:line="480" w:lineRule="auto"/>
              <w:ind w:left="0" w:firstLine="0"/>
              <w:rPr/>
            </w:pPr>
            <w:r w:rsidDel="00000000" w:rsidR="00000000" w:rsidRPr="00000000">
              <w:rPr>
                <w:rtl w:val="0"/>
              </w:rPr>
            </w:r>
          </w:p>
        </w:tc>
        <w:tc>
          <w:tcPr>
            <w:tcBorders>
              <w:left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5B">
            <w:pPr>
              <w:widowControl w:val="0"/>
              <w:spacing w:line="480" w:lineRule="auto"/>
              <w:ind w:firstLine="0"/>
              <w:jc w:val="center"/>
              <w:rPr/>
            </w:pPr>
            <w:r w:rsidDel="00000000" w:rsidR="00000000" w:rsidRPr="00000000">
              <w:rPr>
                <w:rtl w:val="0"/>
              </w:rPr>
              <w:t xml:space="preserve">S1: Mayor</w:t>
            </w:r>
          </w:p>
          <w:p w:rsidR="00000000" w:rsidDel="00000000" w:rsidP="00000000" w:rsidRDefault="00000000" w:rsidRPr="00000000" w14:paraId="0000005C">
            <w:pPr>
              <w:widowControl w:val="0"/>
              <w:spacing w:line="480" w:lineRule="auto"/>
              <w:ind w:firstLine="0"/>
              <w:jc w:val="center"/>
              <w:rPr/>
            </w:pPr>
            <w:r w:rsidDel="00000000" w:rsidR="00000000" w:rsidRPr="00000000">
              <w:rPr>
                <w:rtl w:val="0"/>
              </w:rPr>
              <w:t xml:space="preserve">S2: Menor</w:t>
            </w:r>
          </w:p>
        </w:tc>
        <w:tc>
          <w:tcPr>
            <w:vMerge w:val="continue"/>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5D">
            <w:pPr>
              <w:widowControl w:val="0"/>
              <w:spacing w:after="0" w:before="0" w:line="480" w:lineRule="auto"/>
              <w:ind w:left="0" w:firstLine="0"/>
              <w:rPr/>
            </w:pPr>
            <w:r w:rsidDel="00000000" w:rsidR="00000000" w:rsidRPr="00000000">
              <w:rPr>
                <w:rtl w:val="0"/>
              </w:rPr>
            </w:r>
          </w:p>
        </w:tc>
        <w:tc>
          <w:tcPr>
            <w:vMerge w:val="continue"/>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5E">
            <w:pPr>
              <w:widowControl w:val="0"/>
              <w:spacing w:after="0" w:before="0" w:line="480" w:lineRule="auto"/>
              <w:ind w:left="0" w:firstLine="0"/>
              <w:rPr/>
            </w:pPr>
            <w:r w:rsidDel="00000000" w:rsidR="00000000" w:rsidRPr="00000000">
              <w:rPr>
                <w:rtl w:val="0"/>
              </w:rPr>
            </w:r>
          </w:p>
        </w:tc>
        <w:tc>
          <w:tcPr>
            <w:tcBorders>
              <w:left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480" w:lineRule="auto"/>
              <w:ind w:firstLine="0"/>
              <w:jc w:val="center"/>
              <w:rPr/>
            </w:pPr>
            <w:r w:rsidDel="00000000" w:rsidR="00000000" w:rsidRPr="00000000">
              <w:rPr>
                <w:rtl w:val="0"/>
              </w:rPr>
              <w:t xml:space="preserve">S1: Menor</w:t>
            </w:r>
          </w:p>
          <w:p w:rsidR="00000000" w:rsidDel="00000000" w:rsidP="00000000" w:rsidRDefault="00000000" w:rsidRPr="00000000" w14:paraId="00000060">
            <w:pPr>
              <w:widowControl w:val="0"/>
              <w:spacing w:line="480" w:lineRule="auto"/>
              <w:ind w:firstLine="0"/>
              <w:jc w:val="center"/>
              <w:rPr/>
            </w:pPr>
            <w:r w:rsidDel="00000000" w:rsidR="00000000" w:rsidRPr="00000000">
              <w:rPr>
                <w:rtl w:val="0"/>
              </w:rPr>
              <w:t xml:space="preserve">S2: Menor</w:t>
            </w:r>
          </w:p>
        </w:tc>
      </w:tr>
    </w:tbl>
    <w:p w:rsidR="00000000" w:rsidDel="00000000" w:rsidP="00000000" w:rsidRDefault="00000000" w:rsidRPr="00000000" w14:paraId="00000061">
      <w:pPr>
        <w:widowControl w:val="0"/>
        <w:spacing w:after="240" w:line="480" w:lineRule="auto"/>
        <w:ind w:left="0" w:firstLine="0"/>
        <w:rPr/>
      </w:pPr>
      <w:r w:rsidDel="00000000" w:rsidR="00000000" w:rsidRPr="00000000">
        <w:rPr>
          <w:i w:val="1"/>
          <w:iCs w:val="1"/>
          <w:rtl w:val="0"/>
        </w:rPr>
        <w:t xml:space="preserve">Nota</w:t>
      </w:r>
      <w:r w:rsidDel="00000000" w:rsidR="00000000" w:rsidRPr="00000000">
        <w:rPr>
          <w:i w:val="1"/>
          <w:iCs w:val="1"/>
          <w:rtl w:val="0"/>
        </w:rPr>
        <w:t xml:space="preserve">. </w:t>
      </w:r>
      <w:r w:rsidDel="00000000" w:rsidR="00000000" w:rsidRPr="00000000">
        <w:rPr>
          <w:rtl w:val="0"/>
        </w:rPr>
        <w:t xml:space="preserve">En esta tabla se resumen las etapas del experimento uno. Son dos grupos, denominados Experimental y Control. La segunda columna (F. Pavloviana) es la fase Pavloviana, la tercera columna (F. instrumental) es la fase instrumental. S1, S2, S3 y S4 son cuatro distintas claves. R1, R2 y R3 son tres distintos botones apretables. O1A y O1B son puntos de cerveza o de tabaco, contrabalanceados. O2 y O3 son un resultado personalizado de puntos de comida y puntos de clips. Las columnas de hipótesis indican la cantidad de respuesta proporcional que se espera en R1 cuando S1 o S2 están presentes.</w:t>
      </w:r>
    </w:p>
    <w:p w:rsidR="00000000" w:rsidDel="00000000" w:rsidP="00000000" w:rsidRDefault="00000000" w:rsidRPr="00000000" w14:paraId="00000062">
      <w:pPr>
        <w:pStyle w:val="Heading3"/>
        <w:keepNext w:val="0"/>
        <w:keepLines w:val="0"/>
        <w:widowControl w:val="0"/>
        <w:spacing w:before="280" w:line="480" w:lineRule="auto"/>
        <w:jc w:val="both"/>
        <w:rPr>
          <w:b w:val="1"/>
          <w:bCs w:val="1"/>
          <w:i w:val="1"/>
          <w:iCs w:val="1"/>
          <w:color w:val="000000"/>
          <w:sz w:val="24"/>
          <w:szCs w:val="24"/>
        </w:rPr>
        <w:sectPr>
          <w:type w:val="nextPage"/>
          <w:pgSz w:h="12240" w:w="15840" w:orient="landscape"/>
          <w:pgMar w:bottom="1417.3228346456694" w:top="1417.3228346456694" w:left="1417.3228346456694" w:right="1417.3228346456694" w:header="720" w:footer="720"/>
        </w:sectPr>
      </w:pPr>
      <w:bookmarkStart w:colFirst="0" w:colLast="0" w:name="_hi5av6jhnxuq" w:id="8"/>
      <w:bookmarkEnd w:id="8"/>
      <w:r w:rsidDel="00000000" w:rsidR="00000000" w:rsidRPr="00000000">
        <w:rPr>
          <w:rtl w:val="0"/>
        </w:rPr>
      </w:r>
    </w:p>
    <w:p w:rsidR="00000000" w:rsidDel="00000000" w:rsidP="00000000" w:rsidRDefault="00000000" w:rsidRPr="00000000" w14:paraId="00000063">
      <w:pPr>
        <w:pStyle w:val="Heading3"/>
        <w:keepNext w:val="0"/>
        <w:keepLines w:val="0"/>
        <w:widowControl w:val="0"/>
        <w:spacing w:before="280" w:line="480" w:lineRule="auto"/>
        <w:jc w:val="both"/>
        <w:rPr>
          <w:sz w:val="24"/>
          <w:szCs w:val="24"/>
        </w:rPr>
      </w:pPr>
      <w:bookmarkStart w:colFirst="0" w:colLast="0" w:name="_pjuhl3h2160e" w:id="9"/>
      <w:bookmarkEnd w:id="9"/>
      <w:r w:rsidDel="00000000" w:rsidR="00000000" w:rsidRPr="00000000">
        <w:rPr>
          <w:b w:val="1"/>
          <w:bCs w:val="1"/>
          <w:i w:val="1"/>
          <w:iCs w:val="1"/>
          <w:color w:val="000000"/>
          <w:sz w:val="24"/>
          <w:szCs w:val="24"/>
          <w:rtl w:val="0"/>
        </w:rPr>
        <w:t xml:space="preserve">Fase Pavloviana</w:t>
      </w:r>
      <w:r w:rsidDel="00000000" w:rsidR="00000000" w:rsidRPr="00000000">
        <w:rPr>
          <w:rtl w:val="0"/>
        </w:rPr>
      </w:r>
    </w:p>
    <w:p w:rsidR="00000000" w:rsidDel="00000000" w:rsidP="00000000" w:rsidRDefault="00000000" w:rsidRPr="00000000" w14:paraId="00000064">
      <w:pPr>
        <w:widowControl w:val="0"/>
        <w:spacing w:after="240" w:before="240" w:line="480" w:lineRule="auto"/>
        <w:jc w:val="both"/>
        <w:rPr/>
      </w:pPr>
      <w:r w:rsidDel="00000000" w:rsidR="00000000" w:rsidRPr="00000000">
        <w:rPr>
          <w:rtl w:val="0"/>
        </w:rPr>
        <w:t xml:space="preserve">Los participantes aprenderán tres contingencias estímulo-resultado (S-O). El objetivo es que los participantes aprendan las asociaciones entre distintos estímulos visuales y su resultado correspondiente. En cada ensayo, uno de los tres pares de S-O será presentado. Los tres estímulos consistirán en cuadrados de colores representados en la pantalla del computador, y un estímulo extra que no será asociado a resultado para un total de cuatro (S1, S2, S3 y S4).</w:t>
      </w:r>
    </w:p>
    <w:p w:rsidR="00000000" w:rsidDel="00000000" w:rsidP="00000000" w:rsidRDefault="00000000" w:rsidRPr="00000000" w14:paraId="00000065">
      <w:pPr>
        <w:widowControl w:val="0"/>
        <w:spacing w:after="240" w:before="240" w:line="480" w:lineRule="auto"/>
        <w:jc w:val="both"/>
        <w:rPr/>
      </w:pPr>
      <w:r w:rsidDel="00000000" w:rsidR="00000000" w:rsidRPr="00000000">
        <w:rPr>
          <w:rtl w:val="0"/>
        </w:rPr>
        <w:t xml:space="preserve">El estímulo S1 (cuadrado azul) entregará como resultado (O1A o O1B) una droga (cerveza o cigarro) que será contrabalanceado por subgrupos. El estímulo S2 (cuadrado amarillo) entregará como resultado comida. El estímulo S3 (cuadrado rojo) entregará un clip. Y el estímulo S4 (cuadrado verde) no entregará ningún resultado.</w:t>
      </w:r>
    </w:p>
    <w:p w:rsidR="00000000" w:rsidDel="00000000" w:rsidP="00000000" w:rsidRDefault="00000000" w:rsidRPr="00000000" w14:paraId="00000066">
      <w:pPr>
        <w:widowControl w:val="0"/>
        <w:spacing w:after="240" w:before="240" w:line="480" w:lineRule="auto"/>
        <w:jc w:val="both"/>
        <w:rPr/>
      </w:pPr>
      <w:commentRangeStart w:id="2"/>
      <w:commentRangeStart w:id="3"/>
      <w:r w:rsidDel="00000000" w:rsidR="00000000" w:rsidRPr="00000000">
        <w:rPr>
          <w:rtl w:val="0"/>
        </w:rPr>
        <w:t xml:space="preserve">Un ensayo consistirá en que aparezca en pantalla el estímulo por 4 segundos, y el resultado durante 1 segundo después que desaparezca el estímulo. El intervalo entre ensayos será de entre 6 a 10 segundos variable. Se presentará cada estímulo junto con su consecuencia 9 veces cada uno para un total de 36 ensayos. El orden de los estímulos será al azar. </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t xml:space="preserve"> Se le pedirá a los participantes que no aprieten ningún botón en la pantalla durante los ensayos.</w:t>
      </w:r>
      <w:r w:rsidDel="00000000" w:rsidR="00000000" w:rsidRPr="00000000">
        <w:rPr>
          <w:rtl w:val="0"/>
        </w:rPr>
      </w:r>
    </w:p>
    <w:p w:rsidR="00000000" w:rsidDel="00000000" w:rsidP="00000000" w:rsidRDefault="00000000" w:rsidRPr="00000000" w14:paraId="00000067">
      <w:pPr>
        <w:widowControl w:val="0"/>
        <w:spacing w:after="240" w:before="240" w:line="480" w:lineRule="auto"/>
        <w:jc w:val="both"/>
        <w:rPr/>
      </w:pPr>
      <w:r w:rsidDel="00000000" w:rsidR="00000000" w:rsidRPr="00000000">
        <w:rPr>
          <w:rtl w:val="0"/>
        </w:rPr>
        <w:t xml:space="preserve">Las instrucciones que se presentarán al inicio de la fase pavloviana serán las siguientes: </w:t>
      </w:r>
      <w:r w:rsidDel="00000000" w:rsidR="00000000" w:rsidRPr="00000000">
        <w:rPr>
          <w:i w:val="1"/>
          <w:iCs w:val="1"/>
          <w:rtl w:val="0"/>
        </w:rPr>
        <w:t xml:space="preserve">"En esta parte, verás cuadrados de diferentes colores en la pantalla. Cada cuadrado está asociado con una consecuencia que aparecerá después. Algunas veces recibirás una recompensa, y otras veces no pasará nada. Solo observa y presta atención. No aprietes ningún botón durante esta fase."</w:t>
      </w:r>
      <w:r w:rsidDel="00000000" w:rsidR="00000000" w:rsidRPr="00000000">
        <w:rPr>
          <w:rtl w:val="0"/>
        </w:rPr>
      </w:r>
    </w:p>
    <w:p w:rsidR="00000000" w:rsidDel="00000000" w:rsidP="00000000" w:rsidRDefault="00000000" w:rsidRPr="00000000" w14:paraId="00000068">
      <w:pPr>
        <w:widowControl w:val="0"/>
        <w:spacing w:after="240" w:before="240" w:line="480" w:lineRule="auto"/>
        <w:jc w:val="both"/>
        <w:rPr/>
      </w:pPr>
      <w:r w:rsidDel="00000000" w:rsidR="00000000" w:rsidRPr="00000000">
        <w:rPr>
          <w:rtl w:val="0"/>
        </w:rPr>
        <w:t xml:space="preserve">Al final de todos los ensayos se les pregunta a los sujetos por cada estímulo </w:t>
      </w:r>
      <w:commentRangeStart w:id="4"/>
      <w:commentRangeStart w:id="5"/>
      <w:r w:rsidDel="00000000" w:rsidR="00000000" w:rsidRPr="00000000">
        <w:rPr>
          <w:rtl w:val="0"/>
        </w:rPr>
        <w:t xml:space="preserve">“¿Cómo te sientes respecto al cuadrado “AZUL”?” usando una escala Likert que va de 1 (me desagrada mucho) a 5 (me agrada mucho), e</w:t>
      </w:r>
      <w:r w:rsidDel="00000000" w:rsidR="00000000" w:rsidRPr="00000000">
        <w:rPr>
          <w:rtl w:val="0"/>
        </w:rPr>
        <w:t xml:space="preserve">ste proceso se repite por cada color</w:t>
      </w:r>
      <w:r w:rsidDel="00000000" w:rsidR="00000000" w:rsidRPr="00000000">
        <w:rPr>
          <w:rtl w:val="0"/>
        </w:rPr>
        <w:t xml:space="preserve">. </w:t>
      </w:r>
      <w:commentRangeEnd w:id="4"/>
      <w:r w:rsidDel="00000000" w:rsidR="00000000" w:rsidRPr="00000000">
        <w:commentReference w:id="4"/>
      </w:r>
      <w:commentRangeEnd w:id="5"/>
      <w:r w:rsidDel="00000000" w:rsidR="00000000" w:rsidRPr="00000000">
        <w:commentReference w:id="5"/>
      </w:r>
      <w:r w:rsidDel="00000000" w:rsidR="00000000" w:rsidRPr="00000000">
        <w:rPr>
          <w:rtl w:val="0"/>
        </w:rPr>
        <w:t xml:space="preserve">Esto permite evaluar conciencia de la contingencia S-O y también preferencia diferencial. Los participantes serán excluidos del experimento si los participantes no demuestran aprendizaje de las contingencias.</w:t>
      </w:r>
    </w:p>
    <w:p w:rsidR="00000000" w:rsidDel="00000000" w:rsidP="00000000" w:rsidRDefault="00000000" w:rsidRPr="00000000" w14:paraId="00000069">
      <w:pPr>
        <w:pStyle w:val="Heading3"/>
        <w:keepNext w:val="0"/>
        <w:keepLines w:val="0"/>
        <w:widowControl w:val="0"/>
        <w:spacing w:before="280" w:line="480" w:lineRule="auto"/>
        <w:jc w:val="both"/>
        <w:rPr>
          <w:b w:val="1"/>
          <w:bCs w:val="1"/>
          <w:i w:val="1"/>
          <w:iCs w:val="1"/>
          <w:color w:val="000000"/>
          <w:sz w:val="24"/>
          <w:szCs w:val="24"/>
        </w:rPr>
      </w:pPr>
      <w:bookmarkStart w:colFirst="0" w:colLast="0" w:name="_wvbxbbddr4ru" w:id="10"/>
      <w:bookmarkEnd w:id="10"/>
      <w:r w:rsidDel="00000000" w:rsidR="00000000" w:rsidRPr="00000000">
        <w:rPr>
          <w:b w:val="1"/>
          <w:bCs w:val="1"/>
          <w:i w:val="1"/>
          <w:iCs w:val="1"/>
          <w:color w:val="000000"/>
          <w:sz w:val="24"/>
          <w:szCs w:val="24"/>
          <w:rtl w:val="0"/>
        </w:rPr>
        <w:t xml:space="preserve">Fase Instrumental</w:t>
      </w:r>
    </w:p>
    <w:p w:rsidR="00000000" w:rsidDel="00000000" w:rsidP="00000000" w:rsidRDefault="00000000" w:rsidRPr="00000000" w14:paraId="0000006A">
      <w:pPr>
        <w:pStyle w:val="Heading3"/>
        <w:keepNext w:val="0"/>
        <w:keepLines w:val="0"/>
        <w:widowControl w:val="0"/>
        <w:spacing w:after="240" w:before="240" w:line="480" w:lineRule="auto"/>
        <w:jc w:val="both"/>
        <w:rPr>
          <w:color w:val="000000"/>
          <w:sz w:val="24"/>
          <w:szCs w:val="24"/>
        </w:rPr>
      </w:pPr>
      <w:bookmarkStart w:colFirst="0" w:colLast="0" w:name="_imllfdpl9cfr" w:id="11"/>
      <w:bookmarkEnd w:id="11"/>
      <w:r w:rsidDel="00000000" w:rsidR="00000000" w:rsidRPr="00000000">
        <w:rPr>
          <w:color w:val="000000"/>
          <w:sz w:val="24"/>
          <w:szCs w:val="24"/>
          <w:rtl w:val="0"/>
        </w:rPr>
        <w:t xml:space="preserve">En la fase de entrenamiento instrumental, los participantes aprenderán tres contingencias distintas de R-O. El objetivo es aprender qué tecla produce cada consecuencia. Esta fase consistirá de 36 ensayos. Se les instruirá a los participantes a usar tres teclas, donde cada una traerá un resultado recompensante y distinto. En ningún momento aparecerán los estímulos condicionados (cuadrados de colores) presentados en la fase pavloviana. En la pantalla aparecerán tres botones; R1, R2 y R3. La tecla R1 entregará un punto para obtener un puff de tabaco o un sorbo de cerveza </w:t>
      </w:r>
      <w:r w:rsidDel="00000000" w:rsidR="00000000" w:rsidRPr="00000000">
        <w:rPr>
          <w:color w:val="000000"/>
          <w:sz w:val="24"/>
          <w:szCs w:val="24"/>
          <w:rtl w:val="0"/>
        </w:rPr>
        <w:t xml:space="preserve">(O1A o O1B, dependiendo del subgrupo).</w:t>
      </w:r>
      <w:r w:rsidDel="00000000" w:rsidR="00000000" w:rsidRPr="00000000">
        <w:rPr>
          <w:color w:val="000000"/>
          <w:sz w:val="24"/>
          <w:szCs w:val="24"/>
          <w:rtl w:val="0"/>
        </w:rPr>
        <w:t xml:space="preserve"> La tecla R2 entregará un punto para obtener la comida de preferencia (O2). La tecla R3 entregará un punto que le permita ganar un clip (O3). Al final de cada ensayo en la pantalla aparecerá “Comenzando la siguiente sesión…” para señalizar el comienzo de un nuevo ensayo. Cada recompensa tendrá 50% de probabilidad de ser entregada, a pesar de haber apretado la tecla asociada a un O específico. Durante esas oportunidades sólo aparecerá “No has ganado nada”. El ensayo terminará una vez que el participante presione una tecla o pasen 180 segundos. Luego comenzará otro hasta completar los 24 ensayos. </w:t>
      </w:r>
    </w:p>
    <w:p w:rsidR="00000000" w:rsidDel="00000000" w:rsidP="00000000" w:rsidRDefault="00000000" w:rsidRPr="00000000" w14:paraId="0000006B">
      <w:pPr>
        <w:pStyle w:val="Heading3"/>
        <w:keepNext w:val="0"/>
        <w:keepLines w:val="0"/>
        <w:widowControl w:val="0"/>
        <w:spacing w:after="240" w:before="240" w:line="480" w:lineRule="auto"/>
        <w:jc w:val="both"/>
        <w:rPr>
          <w:sz w:val="24"/>
          <w:szCs w:val="24"/>
        </w:rPr>
      </w:pPr>
      <w:bookmarkStart w:colFirst="0" w:colLast="0" w:name="_xqe7qt1q88gu" w:id="12"/>
      <w:bookmarkEnd w:id="12"/>
      <w:r w:rsidDel="00000000" w:rsidR="00000000" w:rsidRPr="00000000">
        <w:rPr>
          <w:color w:val="000000"/>
          <w:sz w:val="24"/>
          <w:szCs w:val="24"/>
          <w:rtl w:val="0"/>
        </w:rPr>
        <w:t xml:space="preserve">En cada ensayo, un punto de fijación aparecerá por un segundo, luego aparecerá el mensaje “</w:t>
      </w:r>
      <w:r w:rsidDel="00000000" w:rsidR="00000000" w:rsidRPr="00000000">
        <w:rPr>
          <w:i w:val="1"/>
          <w:iCs w:val="1"/>
          <w:color w:val="000000"/>
          <w:sz w:val="24"/>
          <w:szCs w:val="24"/>
          <w:rtl w:val="0"/>
        </w:rPr>
        <w:t xml:space="preserve">presiona un botón en pantalla”</w:t>
      </w:r>
      <w:r w:rsidDel="00000000" w:rsidR="00000000" w:rsidRPr="00000000">
        <w:rPr>
          <w:color w:val="000000"/>
          <w:sz w:val="24"/>
          <w:szCs w:val="24"/>
          <w:rtl w:val="0"/>
        </w:rPr>
        <w:t xml:space="preserve"> hasta que el participante presione uno. Una vez presionado aparecerán los distintos mensajes de retroalimentación por un segundo (i.e. </w:t>
      </w:r>
      <w:r w:rsidDel="00000000" w:rsidR="00000000" w:rsidRPr="00000000">
        <w:rPr>
          <w:i w:val="1"/>
          <w:iCs w:val="1"/>
          <w:color w:val="000000"/>
          <w:sz w:val="24"/>
          <w:szCs w:val="24"/>
          <w:rtl w:val="0"/>
        </w:rPr>
        <w:t xml:space="preserve">Ganaste un punto de </w:t>
      </w:r>
      <w:r w:rsidDel="00000000" w:rsidR="00000000" w:rsidRPr="00000000">
        <w:rPr>
          <w:i w:val="1"/>
          <w:iCs w:val="1"/>
          <w:color w:val="000000"/>
          <w:sz w:val="24"/>
          <w:szCs w:val="24"/>
          <w:rtl w:val="0"/>
        </w:rPr>
        <w:t xml:space="preserve">cerveza)</w:t>
      </w:r>
      <w:r w:rsidDel="00000000" w:rsidR="00000000" w:rsidRPr="00000000">
        <w:rPr>
          <w:color w:val="000000"/>
          <w:sz w:val="24"/>
          <w:szCs w:val="24"/>
          <w:rtl w:val="0"/>
        </w:rPr>
        <w:t xml:space="preserve">. </w:t>
      </w:r>
      <w:r w:rsidDel="00000000" w:rsidR="00000000" w:rsidRPr="00000000">
        <w:rPr>
          <w:rtl w:val="0"/>
        </w:rPr>
      </w:r>
    </w:p>
    <w:p w:rsidR="00000000" w:rsidDel="00000000" w:rsidP="00000000" w:rsidRDefault="00000000" w:rsidRPr="00000000" w14:paraId="0000006C">
      <w:pPr>
        <w:widowControl w:val="0"/>
        <w:spacing w:after="240" w:before="240" w:line="480" w:lineRule="auto"/>
        <w:jc w:val="both"/>
        <w:rPr/>
      </w:pPr>
      <w:r w:rsidDel="00000000" w:rsidR="00000000" w:rsidRPr="00000000">
        <w:rPr>
          <w:rtl w:val="0"/>
        </w:rPr>
        <w:t xml:space="preserve">Al inicio de la fase instrumental se presentará la siguiente instrucción:  </w:t>
      </w:r>
      <w:r w:rsidDel="00000000" w:rsidR="00000000" w:rsidRPr="00000000">
        <w:rPr>
          <w:i w:val="1"/>
          <w:iCs w:val="1"/>
          <w:rtl w:val="0"/>
        </w:rPr>
        <w:t xml:space="preserve">"Ahora se te pedirá apretar distintos botones que aparecen en la pantalla. Debes descubrir qué tecla presionar para obtener un punto de recompensa específico. Puedes presionar la tecla correcta tantas veces como quieras, pero no durante la aparición de la recompensa."</w:t>
      </w:r>
      <w:r w:rsidDel="00000000" w:rsidR="00000000" w:rsidRPr="00000000">
        <w:rPr>
          <w:rtl w:val="0"/>
        </w:rPr>
      </w:r>
    </w:p>
    <w:p w:rsidR="00000000" w:rsidDel="00000000" w:rsidP="00000000" w:rsidRDefault="00000000" w:rsidRPr="00000000" w14:paraId="0000006D">
      <w:pPr>
        <w:pStyle w:val="Heading3"/>
        <w:keepNext w:val="0"/>
        <w:keepLines w:val="0"/>
        <w:widowControl w:val="0"/>
        <w:spacing w:after="240" w:before="240" w:line="480" w:lineRule="auto"/>
        <w:jc w:val="both"/>
        <w:rPr>
          <w:i w:val="1"/>
          <w:iCs w:val="1"/>
          <w:sz w:val="24"/>
          <w:szCs w:val="24"/>
        </w:rPr>
      </w:pPr>
      <w:bookmarkStart w:colFirst="0" w:colLast="0" w:name="_5m9ob71yvcu2" w:id="13"/>
      <w:bookmarkEnd w:id="13"/>
      <w:r w:rsidDel="00000000" w:rsidR="00000000" w:rsidRPr="00000000">
        <w:rPr>
          <w:color w:val="000000"/>
          <w:sz w:val="24"/>
          <w:szCs w:val="24"/>
          <w:rtl w:val="0"/>
        </w:rPr>
        <w:t xml:space="preserve">Al final de la fase, se le preguntará a cada participante que den una puntuación, en una escala del 1 al 10, de qué tan efectivo cada R era en producir los distintos O. </w:t>
      </w:r>
      <w:r w:rsidDel="00000000" w:rsidR="00000000" w:rsidRPr="00000000">
        <w:rPr>
          <w:rtl w:val="0"/>
        </w:rPr>
      </w:r>
    </w:p>
    <w:p w:rsidR="00000000" w:rsidDel="00000000" w:rsidP="00000000" w:rsidRDefault="00000000" w:rsidRPr="00000000" w14:paraId="0000006E">
      <w:pPr>
        <w:pStyle w:val="Heading3"/>
        <w:keepNext w:val="0"/>
        <w:keepLines w:val="0"/>
        <w:widowControl w:val="0"/>
        <w:spacing w:before="280" w:line="480" w:lineRule="auto"/>
        <w:jc w:val="both"/>
        <w:rPr>
          <w:b w:val="1"/>
          <w:bCs w:val="1"/>
          <w:i w:val="1"/>
          <w:iCs w:val="1"/>
          <w:color w:val="000000"/>
          <w:sz w:val="24"/>
          <w:szCs w:val="24"/>
        </w:rPr>
      </w:pPr>
      <w:bookmarkStart w:colFirst="0" w:colLast="0" w:name="_kfl9dsedium8" w:id="14"/>
      <w:bookmarkEnd w:id="14"/>
      <w:r w:rsidDel="00000000" w:rsidR="00000000" w:rsidRPr="00000000">
        <w:rPr>
          <w:b w:val="1"/>
          <w:bCs w:val="1"/>
          <w:i w:val="1"/>
          <w:iCs w:val="1"/>
          <w:color w:val="000000"/>
          <w:sz w:val="24"/>
          <w:szCs w:val="24"/>
          <w:rtl w:val="0"/>
        </w:rPr>
        <w:t xml:space="preserve">Test PIT</w:t>
      </w:r>
    </w:p>
    <w:p w:rsidR="00000000" w:rsidDel="00000000" w:rsidP="00000000" w:rsidRDefault="00000000" w:rsidRPr="00000000" w14:paraId="0000006F">
      <w:pPr>
        <w:widowControl w:val="0"/>
        <w:spacing w:after="240" w:before="240" w:line="480" w:lineRule="auto"/>
        <w:ind w:left="0" w:firstLine="0"/>
        <w:jc w:val="both"/>
        <w:rPr/>
      </w:pPr>
      <w:r w:rsidDel="00000000" w:rsidR="00000000" w:rsidRPr="00000000">
        <w:rPr>
          <w:rtl w:val="0"/>
        </w:rPr>
        <w:t xml:space="preserve">El objetivo de esta fase es generar la transferencia pavloviana instrumental (S-R). </w:t>
      </w:r>
      <w:r w:rsidDel="00000000" w:rsidR="00000000" w:rsidRPr="00000000">
        <w:rPr>
          <w:rtl w:val="0"/>
        </w:rPr>
        <w:t xml:space="preserve">Durante la prueba de transferencia, los participantes verán los estímulos de la fase Pavloviana y se les dirá pueden apretar los botones R1 y R3 en pantalla cuando consideren oportuno. No se entregará retroalimentación al participante durante esta fase. Cada ensayo comienza con un intervalo variable de 4 a 12 segundos de un punto de fijación. Un estímulo pavloviano se presentará por 4 segundos (S1, S2 o S3). Luego ocurrirá un intervalo variable de 2 a 10 segundos seguido de una pantalla que dice “Recalibrando”. Se le pedirá a los participantes que se abstengan de pulsar una tecla cuando aparezca esta pantalla. Los participantes serán libres de hacer respuestas instrumentales durante el periodo de fijación pre-EC y durante la presentación del EC. Cada estímulo será presentado 20 veces para un total de 60 ensayos.</w:t>
      </w:r>
    </w:p>
    <w:p w:rsidR="00000000" w:rsidDel="00000000" w:rsidP="00000000" w:rsidRDefault="00000000" w:rsidRPr="00000000" w14:paraId="00000070">
      <w:pPr>
        <w:widowControl w:val="0"/>
        <w:spacing w:after="240" w:before="240" w:line="480" w:lineRule="auto"/>
        <w:jc w:val="both"/>
        <w:rPr>
          <w:i w:val="1"/>
          <w:iCs w:val="1"/>
        </w:rPr>
      </w:pPr>
      <w:r w:rsidDel="00000000" w:rsidR="00000000" w:rsidRPr="00000000">
        <w:rPr>
          <w:rtl w:val="0"/>
        </w:rPr>
        <w:t xml:space="preserve">Las instrucciones que se le presentarán al participante serán las siguientes: </w:t>
      </w:r>
      <w:r w:rsidDel="00000000" w:rsidR="00000000" w:rsidRPr="00000000">
        <w:rPr>
          <w:i w:val="1"/>
          <w:iCs w:val="1"/>
          <w:rtl w:val="0"/>
        </w:rPr>
        <w:t xml:space="preserve">“A continuación se te presentarán los cuadros de colores que viste anteriormente. Primero verás un punto de fijación, después verás, aleatoriamente, un cuadro de color. Eres libre de apretar los botones, excepto cuando aparezca la palabra “Recalibrando”.</w:t>
      </w:r>
    </w:p>
    <w:p w:rsidR="00000000" w:rsidDel="00000000" w:rsidP="00000000" w:rsidRDefault="00000000" w:rsidRPr="00000000" w14:paraId="00000071">
      <w:pPr>
        <w:pStyle w:val="Heading3"/>
        <w:keepNext w:val="0"/>
        <w:keepLines w:val="0"/>
        <w:widowControl w:val="0"/>
        <w:spacing w:before="280" w:line="480" w:lineRule="auto"/>
        <w:jc w:val="both"/>
        <w:rPr>
          <w:b w:val="1"/>
          <w:bCs w:val="1"/>
          <w:i w:val="1"/>
          <w:iCs w:val="1"/>
          <w:color w:val="000000"/>
          <w:sz w:val="24"/>
          <w:szCs w:val="24"/>
        </w:rPr>
      </w:pPr>
      <w:bookmarkStart w:colFirst="0" w:colLast="0" w:name="_jrln19wow6dw" w:id="15"/>
      <w:bookmarkEnd w:id="15"/>
      <w:r w:rsidDel="00000000" w:rsidR="00000000" w:rsidRPr="00000000">
        <w:rPr>
          <w:b w:val="1"/>
          <w:bCs w:val="1"/>
          <w:i w:val="1"/>
          <w:iCs w:val="1"/>
          <w:color w:val="000000"/>
          <w:sz w:val="24"/>
          <w:szCs w:val="24"/>
          <w:rtl w:val="0"/>
        </w:rPr>
        <w:t xml:space="preserve">Devaluación</w:t>
      </w:r>
      <w:r w:rsidDel="00000000" w:rsidR="00000000" w:rsidRPr="00000000">
        <w:rPr>
          <w:rtl w:val="0"/>
        </w:rPr>
      </w:r>
    </w:p>
    <w:p w:rsidR="00000000" w:rsidDel="00000000" w:rsidP="00000000" w:rsidRDefault="00000000" w:rsidRPr="00000000" w14:paraId="00000072">
      <w:pPr>
        <w:widowControl w:val="0"/>
        <w:spacing w:after="240" w:before="240" w:line="480" w:lineRule="auto"/>
        <w:ind w:firstLine="720"/>
        <w:jc w:val="both"/>
        <w:rPr>
          <w:i w:val="1"/>
          <w:iCs w:val="1"/>
        </w:rPr>
      </w:pPr>
      <w:r w:rsidDel="00000000" w:rsidR="00000000" w:rsidRPr="00000000">
        <w:rPr>
          <w:rtl w:val="0"/>
        </w:rPr>
        <w:t xml:space="preserve">Se realizará una devaluación después de la prueba de transferencia. El objetivo es reducir el valor motivacional de O1A (cigarro) y O2 (comida de preferencia) mediante saciedad específica. En otras palabras, antes de pasar a la siguiente etapa</w:t>
      </w:r>
      <w:r w:rsidDel="00000000" w:rsidR="00000000" w:rsidRPr="00000000">
        <w:rPr>
          <w:rtl w:val="0"/>
        </w:rPr>
        <w:t xml:space="preserve">, se le permitirá al participante el tomar un descanso con el investigador,</w:t>
      </w:r>
      <w:r w:rsidDel="00000000" w:rsidR="00000000" w:rsidRPr="00000000">
        <w:rPr>
          <w:rtl w:val="0"/>
        </w:rPr>
        <w:t xml:space="preserve"> donde se le permitirá fumar 5 puffs de un cigarro provisto (o bien de su propio tabaco) y la comida de preferencia equivalente a 5 puffs de cigarro. Los participantes luego evaluarán en una escala digital likert del 1 al 10, cuantos deseos tienen de consumir más O1A y la comida elegida (O2), en una escala de 1 (nada de deseo) a 10 (mucho deseo) (1: Nada de deseo, 2: Muy poco deseo, 3: Poco deseo, 4: Algo de deseo, 5: Deseo moderado, 6: Bastante deseo, 7: Mucho deseo, 8: Muchísimo deseo, 9: Deseo muy intenso, 10: Deseo extremo/Máximo deseo). Si no se observa disminución en el deseo por O1A y O2, se considerará que la devalu</w:t>
      </w:r>
      <w:r w:rsidDel="00000000" w:rsidR="00000000" w:rsidRPr="00000000">
        <w:rPr>
          <w:rtl w:val="0"/>
        </w:rPr>
      </w:r>
    </w:p>
    <w:p w:rsidR="00000000" w:rsidDel="00000000" w:rsidP="00000000" w:rsidRDefault="00000000" w:rsidRPr="00000000" w14:paraId="00000073">
      <w:pPr>
        <w:widowControl w:val="0"/>
        <w:spacing w:after="0" w:line="480" w:lineRule="auto"/>
        <w:jc w:val="both"/>
        <w:rPr>
          <w:b w:val="1"/>
          <w:bCs w:val="1"/>
          <w:i w:val="1"/>
          <w:iCs w:val="1"/>
          <w:color w:val="000000"/>
        </w:rPr>
      </w:pPr>
      <w:r w:rsidDel="00000000" w:rsidR="00000000" w:rsidRPr="00000000">
        <w:rPr>
          <w:b w:val="1"/>
          <w:bCs w:val="1"/>
          <w:i w:val="1"/>
          <w:iCs w:val="1"/>
          <w:color w:val="000000"/>
          <w:rtl w:val="0"/>
        </w:rPr>
        <w:t xml:space="preserve">Re-test PIT</w:t>
      </w:r>
    </w:p>
    <w:p w:rsidR="00000000" w:rsidDel="00000000" w:rsidP="00000000" w:rsidRDefault="00000000" w:rsidRPr="00000000" w14:paraId="00000074">
      <w:pPr>
        <w:widowControl w:val="0"/>
        <w:spacing w:after="240" w:before="0" w:line="480" w:lineRule="auto"/>
        <w:ind w:left="0" w:firstLine="720"/>
        <w:jc w:val="both"/>
        <w:rPr/>
      </w:pPr>
      <w:r w:rsidDel="00000000" w:rsidR="00000000" w:rsidRPr="00000000">
        <w:rPr>
          <w:rtl w:val="0"/>
        </w:rPr>
        <w:t xml:space="preserve">En esta fase, el propósito es examinar si el efecto de transferencia pavloviana-instrumental se mantiene después de la devaluación y, además, detectar posibles cambios en la preferencia de respuesta. Para ello, se comunica a los participantes que la dinámica será idéntica a la de la prueba anterior: volverán a ver en pantalla los mismos cuadrados de colores y, mientras cada uno esté presente, </w:t>
      </w:r>
      <w:r w:rsidDel="00000000" w:rsidR="00000000" w:rsidRPr="00000000">
        <w:rPr>
          <w:rtl w:val="0"/>
        </w:rPr>
        <w:t xml:space="preserve">podrán presionar libremente las teclas R1 y R3 tantas veces como lo deseen</w:t>
      </w:r>
      <w:r w:rsidDel="00000000" w:rsidR="00000000" w:rsidRPr="00000000">
        <w:rPr>
          <w:rtl w:val="0"/>
        </w:rPr>
        <w:t xml:space="preserve">. Se enfatiza que, al igual que antes, no se entregarán recompensas visibles y que, cuando aparezca la pantalla con el mensaje “Recalibrando”, deberán evitar presionar cualquier tecla.</w:t>
      </w:r>
    </w:p>
    <w:p w:rsidR="00000000" w:rsidDel="00000000" w:rsidP="00000000" w:rsidRDefault="00000000" w:rsidRPr="00000000" w14:paraId="00000075">
      <w:pPr>
        <w:widowControl w:val="0"/>
        <w:spacing w:after="240" w:before="240" w:line="480" w:lineRule="auto"/>
        <w:ind w:left="0" w:firstLine="720"/>
        <w:jc w:val="both"/>
        <w:rPr/>
      </w:pPr>
      <w:r w:rsidDel="00000000" w:rsidR="00000000" w:rsidRPr="00000000">
        <w:rPr>
          <w:rtl w:val="0"/>
        </w:rPr>
        <w:t xml:space="preserve">El procedimiento sigue un orden controlado. Antes de cada estímulo, se presenta un punto de fijación central durante un intervalo variable de entre cuatro y doce segundos. Posteriormente, se muestra en pantalla uno de los estímulos pavlovianos —S1, S2 o S3— por un periodo fijo de cuatro segundos, tiempo en el que las teclas R1 y R3 permanecen activas. Según el diseño experimental, se espera que ante S1 los participantes muestren una mayor tendencia a elegir R1, mientras que ante S2 y S3 la elección de R1 debería ser menor. Sin embargo, dado que esta fase ocurre después de la devaluación, se anticipa una disminución general en las respuestas R1 para todos los estímulos en comparación con la primera prueba de transferencia. Tras la presentación de cada estímulo, se activa la pantalla “Recalibrando” durante un intervalo aleatorio de entre dos y diez segundos, durante el cual no se permite responder. Cada estímulo se repite veinte veces, intercalado de manera aleatoria, lo que da un total de sesenta ensayos para toda la fase.</w:t>
      </w:r>
      <w:r w:rsidDel="00000000" w:rsidR="00000000" w:rsidRPr="00000000">
        <w:rPr>
          <w:rtl w:val="0"/>
        </w:rPr>
      </w:r>
    </w:p>
    <w:p w:rsidR="00000000" w:rsidDel="00000000" w:rsidP="00000000" w:rsidRDefault="00000000" w:rsidRPr="00000000" w14:paraId="00000076">
      <w:pPr>
        <w:widowControl w:val="0"/>
        <w:spacing w:after="240" w:before="240" w:line="480" w:lineRule="auto"/>
        <w:jc w:val="both"/>
        <w:rPr/>
      </w:pPr>
      <w:r w:rsidDel="00000000" w:rsidR="00000000" w:rsidRPr="00000000">
        <w:rPr>
          <w:rtl w:val="0"/>
        </w:rPr>
        <w:t xml:space="preserve">Se entregarán las siguientes instrucciones al participante:</w:t>
      </w:r>
    </w:p>
    <w:p w:rsidR="00000000" w:rsidDel="00000000" w:rsidP="00000000" w:rsidRDefault="00000000" w:rsidRPr="00000000" w14:paraId="00000077">
      <w:pPr>
        <w:widowControl w:val="0"/>
        <w:spacing w:after="240" w:before="240" w:line="480" w:lineRule="auto"/>
        <w:jc w:val="both"/>
        <w:rPr>
          <w:b w:val="1"/>
          <w:bCs w:val="1"/>
        </w:rPr>
      </w:pPr>
      <w:r w:rsidDel="00000000" w:rsidR="00000000" w:rsidRPr="00000000">
        <w:rPr>
          <w:i w:val="1"/>
          <w:iCs w:val="1"/>
          <w:rtl w:val="0"/>
        </w:rPr>
        <w:t xml:space="preserve">“A continuación, nuevamente verás los cuadrados de colores y podrás presionar R1 y R3 tantas veces como quieras. No recibirás recompensas visibles. Recuerda no presionar nada cuando aparezca la pantalla de “Recalibrando”.</w:t>
      </w:r>
      <w:r w:rsidDel="00000000" w:rsidR="00000000" w:rsidRPr="00000000">
        <w:rPr>
          <w:rtl w:val="0"/>
        </w:rPr>
      </w:r>
    </w:p>
    <w:p w:rsidR="00000000" w:rsidDel="00000000" w:rsidP="00000000" w:rsidRDefault="00000000" w:rsidRPr="00000000" w14:paraId="00000078">
      <w:pPr>
        <w:spacing w:line="480" w:lineRule="auto"/>
        <w:ind w:left="0" w:firstLine="0"/>
        <w:rPr>
          <w:b w:val="1"/>
          <w:bCs w:val="1"/>
        </w:rPr>
      </w:pPr>
      <w:r w:rsidDel="00000000" w:rsidR="00000000" w:rsidRPr="00000000">
        <w:rPr>
          <w:rtl w:val="0"/>
        </w:rPr>
      </w:r>
    </w:p>
    <w:p w:rsidR="00000000" w:rsidDel="00000000" w:rsidP="00000000" w:rsidRDefault="00000000" w:rsidRPr="00000000" w14:paraId="00000079">
      <w:pPr>
        <w:spacing w:line="480" w:lineRule="auto"/>
        <w:ind w:left="0" w:firstLine="0"/>
        <w:rPr>
          <w:b w:val="1"/>
          <w:bCs w:val="1"/>
        </w:rPr>
      </w:pPr>
      <w:r w:rsidDel="00000000" w:rsidR="00000000" w:rsidRPr="00000000">
        <w:rPr>
          <w:rtl w:val="0"/>
        </w:rPr>
      </w:r>
    </w:p>
    <w:p w:rsidR="00000000" w:rsidDel="00000000" w:rsidP="00000000" w:rsidRDefault="00000000" w:rsidRPr="00000000" w14:paraId="0000007A">
      <w:pPr>
        <w:spacing w:line="480" w:lineRule="auto"/>
        <w:ind w:left="0" w:firstLine="0"/>
        <w:rPr>
          <w:b w:val="1"/>
          <w:bCs w:val="1"/>
        </w:rPr>
      </w:pPr>
      <w:r w:rsidDel="00000000" w:rsidR="00000000" w:rsidRPr="00000000">
        <w:rPr>
          <w:b w:val="1"/>
          <w:bCs w:val="1"/>
          <w:rtl w:val="0"/>
        </w:rPr>
        <w:t xml:space="preserve">Plan de análisis </w:t>
      </w:r>
    </w:p>
    <w:p w:rsidR="00000000" w:rsidDel="00000000" w:rsidP="00000000" w:rsidRDefault="00000000" w:rsidRPr="00000000" w14:paraId="0000007B">
      <w:pPr>
        <w:spacing w:line="480" w:lineRule="auto"/>
        <w:jc w:val="both"/>
        <w:rPr>
          <w:b w:val="1"/>
          <w:bCs w:val="1"/>
        </w:rPr>
      </w:pPr>
      <w:r w:rsidDel="00000000" w:rsidR="00000000" w:rsidRPr="00000000">
        <w:rPr>
          <w:rtl w:val="0"/>
        </w:rPr>
        <w:t xml:space="preserve">Todas las hipótesis serán analizadas con un ANOVA mixto donde el factor intersujetos será el factor del experimento (Clave de droga vs clave de comida, palanca de droga vs palanca de comida, cantidad de entrenamiento, y programa de entrenamiento), y el factor intrasujeto será la respuesta a R1 bajo los distintos estímulos que se prueben en la prueba de transferencia, tal como en el modelo de “transferencia completa”. A pesar de que se hipotetizan diferencias entre estímulos, hay una chance de que los estímulos de drogas se comporten igual a los de comida, en ese caso, el fallo del ANOVA no es suficiente para concluir igualdad de grupos, y en esos casos se utilizará un ANOVA mixto Bayesiano, con los mismos factores mencionados más arriba, que permite concluir si los grupos son iguales, y finalmente las claves de drogas funcionan parecido a las claves de comida. Todos los análisis serán pre-registrados.</w:t>
      </w:r>
      <w:r w:rsidDel="00000000" w:rsidR="00000000" w:rsidRPr="00000000">
        <w:br w:type="page"/>
      </w:r>
      <w:r w:rsidDel="00000000" w:rsidR="00000000" w:rsidRPr="00000000">
        <w:rPr>
          <w:rtl w:val="0"/>
        </w:rPr>
      </w:r>
    </w:p>
    <w:p w:rsidR="00000000" w:rsidDel="00000000" w:rsidP="00000000" w:rsidRDefault="00000000" w:rsidRPr="00000000" w14:paraId="0000007C">
      <w:pPr>
        <w:pStyle w:val="Heading1"/>
        <w:rPr/>
      </w:pPr>
      <w:bookmarkStart w:colFirst="0" w:colLast="0" w:name="_ej2b706lc0l5" w:id="16"/>
      <w:bookmarkEnd w:id="16"/>
      <w:r w:rsidDel="00000000" w:rsidR="00000000" w:rsidRPr="00000000">
        <w:rPr>
          <w:rtl w:val="0"/>
        </w:rPr>
        <w:t xml:space="preserve">Referencias </w:t>
      </w:r>
      <w:r w:rsidDel="00000000" w:rsidR="00000000" w:rsidRPr="00000000">
        <w:rPr>
          <w:rtl w:val="0"/>
        </w:rPr>
      </w:r>
    </w:p>
    <w:p w:rsidR="00000000" w:rsidDel="00000000" w:rsidP="00000000" w:rsidRDefault="00000000" w:rsidRPr="00000000" w14:paraId="0000007D">
      <w:pPr>
        <w:widowControl w:val="0"/>
        <w:spacing w:line="480" w:lineRule="auto"/>
        <w:ind w:left="720.0000000000001" w:hanging="720.0000000000001"/>
        <w:jc w:val="both"/>
        <w:rPr/>
      </w:pPr>
      <w:r w:rsidDel="00000000" w:rsidR="00000000" w:rsidRPr="00000000">
        <w:rPr>
          <w:rtl w:val="0"/>
        </w:rPr>
        <w:t xml:space="preserve">Ahmed, S. H., &amp; Koob, G. F. (1997). Cocaine- but not food-seeking behavior is reinstated by stress after extinction. </w:t>
      </w:r>
      <w:r w:rsidDel="00000000" w:rsidR="00000000" w:rsidRPr="00000000">
        <w:rPr>
          <w:i w:val="1"/>
          <w:iCs w:val="1"/>
          <w:rtl w:val="0"/>
        </w:rPr>
        <w:t xml:space="preserve">Psychopharmacology</w:t>
      </w:r>
      <w:r w:rsidDel="00000000" w:rsidR="00000000" w:rsidRPr="00000000">
        <w:rPr>
          <w:rtl w:val="0"/>
        </w:rPr>
        <w:t xml:space="preserve">, </w:t>
      </w:r>
      <w:r w:rsidDel="00000000" w:rsidR="00000000" w:rsidRPr="00000000">
        <w:rPr>
          <w:i w:val="1"/>
          <w:iCs w:val="1"/>
          <w:rtl w:val="0"/>
        </w:rPr>
        <w:t xml:space="preserve">132</w:t>
      </w:r>
      <w:r w:rsidDel="00000000" w:rsidR="00000000" w:rsidRPr="00000000">
        <w:rPr>
          <w:rtl w:val="0"/>
        </w:rPr>
        <w:t xml:space="preserve">(3), 289–295. https://doi.org/10.1007/s002130050347</w:t>
      </w:r>
    </w:p>
    <w:p w:rsidR="00000000" w:rsidDel="00000000" w:rsidP="00000000" w:rsidRDefault="00000000" w:rsidRPr="00000000" w14:paraId="0000007E">
      <w:pPr>
        <w:widowControl w:val="0"/>
        <w:spacing w:line="480" w:lineRule="auto"/>
        <w:ind w:left="720.0000000000001" w:hanging="720.0000000000001"/>
        <w:jc w:val="both"/>
        <w:rPr/>
      </w:pPr>
      <w:r w:rsidDel="00000000" w:rsidR="00000000" w:rsidRPr="00000000">
        <w:rPr>
          <w:rtl w:val="0"/>
        </w:rPr>
        <w:t xml:space="preserve">Alarcón, D. E., &amp; Delamater, A. R. (2019). Outcome-specific Pavlovian-to-instrumental transfer (PIT) with alcohol cues and its extinction. </w:t>
      </w:r>
      <w:r w:rsidDel="00000000" w:rsidR="00000000" w:rsidRPr="00000000">
        <w:rPr>
          <w:i w:val="1"/>
          <w:iCs w:val="1"/>
          <w:rtl w:val="0"/>
        </w:rPr>
        <w:t xml:space="preserve">Alcohol</w:t>
      </w:r>
      <w:r w:rsidDel="00000000" w:rsidR="00000000" w:rsidRPr="00000000">
        <w:rPr>
          <w:rtl w:val="0"/>
        </w:rPr>
        <w:t xml:space="preserve">, </w:t>
      </w:r>
      <w:r w:rsidDel="00000000" w:rsidR="00000000" w:rsidRPr="00000000">
        <w:rPr>
          <w:i w:val="1"/>
          <w:iCs w:val="1"/>
          <w:rtl w:val="0"/>
        </w:rPr>
        <w:t xml:space="preserve">76</w:t>
      </w:r>
      <w:r w:rsidDel="00000000" w:rsidR="00000000" w:rsidRPr="00000000">
        <w:rPr>
          <w:rtl w:val="0"/>
        </w:rPr>
        <w:t xml:space="preserve">, 131–146. https://doi.org/10.1016/j.alcohol.2018.09.003</w:t>
      </w:r>
    </w:p>
    <w:p w:rsidR="00000000" w:rsidDel="00000000" w:rsidP="00000000" w:rsidRDefault="00000000" w:rsidRPr="00000000" w14:paraId="0000007F">
      <w:pPr>
        <w:widowControl w:val="0"/>
        <w:spacing w:line="480" w:lineRule="auto"/>
        <w:ind w:left="720.0000000000001" w:hanging="720.0000000000001"/>
        <w:jc w:val="both"/>
        <w:rPr/>
      </w:pPr>
      <w:r w:rsidDel="00000000" w:rsidR="00000000" w:rsidRPr="00000000">
        <w:rPr>
          <w:rtl w:val="0"/>
        </w:rPr>
        <w:t xml:space="preserve">Alfaro, F., Navarro, V. M., Laborda, M. A., Betancourt, R., &amp; Miguez, G. (2018). Rol de estímulos asociados a las claves de extinción en la recuperación de respuesta. </w:t>
      </w:r>
      <w:r w:rsidDel="00000000" w:rsidR="00000000" w:rsidRPr="00000000">
        <w:rPr>
          <w:i w:val="1"/>
          <w:iCs w:val="1"/>
          <w:rtl w:val="0"/>
        </w:rPr>
        <w:t xml:space="preserve">Psykhe</w:t>
      </w:r>
      <w:r w:rsidDel="00000000" w:rsidR="00000000" w:rsidRPr="00000000">
        <w:rPr>
          <w:rtl w:val="0"/>
        </w:rPr>
        <w:t xml:space="preserve">, </w:t>
      </w:r>
      <w:r w:rsidDel="00000000" w:rsidR="00000000" w:rsidRPr="00000000">
        <w:rPr>
          <w:i w:val="1"/>
          <w:iCs w:val="1"/>
          <w:rtl w:val="0"/>
        </w:rPr>
        <w:t xml:space="preserve">28</w:t>
      </w:r>
      <w:r w:rsidDel="00000000" w:rsidR="00000000" w:rsidRPr="00000000">
        <w:rPr>
          <w:rtl w:val="0"/>
        </w:rPr>
        <w:t xml:space="preserve">(1), 1–15. https://doi.org/10.7764/PSYKHE.28.1.1282</w:t>
      </w:r>
    </w:p>
    <w:p w:rsidR="00000000" w:rsidDel="00000000" w:rsidP="00000000" w:rsidRDefault="00000000" w:rsidRPr="00000000" w14:paraId="00000080">
      <w:pPr>
        <w:widowControl w:val="0"/>
        <w:spacing w:line="480" w:lineRule="auto"/>
        <w:ind w:left="720.0000000000001" w:hanging="720.0000000000001"/>
        <w:jc w:val="both"/>
        <w:rPr/>
      </w:pPr>
      <w:r w:rsidDel="00000000" w:rsidR="00000000" w:rsidRPr="00000000">
        <w:rPr>
          <w:rtl w:val="0"/>
        </w:rPr>
        <w:t xml:space="preserve">Alvarado, M. E., Garmendia, M. L., Acuña, G., Santis, R., &amp; Arteaga, O. (2009). Validez y confiabilidad de la versión chilena del Alcohol Use Disorders Identification Test (AUDIT). </w:t>
      </w:r>
      <w:r w:rsidDel="00000000" w:rsidR="00000000" w:rsidRPr="00000000">
        <w:rPr>
          <w:i w:val="1"/>
          <w:iCs w:val="1"/>
          <w:rtl w:val="0"/>
        </w:rPr>
        <w:t xml:space="preserve">Revista médica de Chile</w:t>
      </w:r>
      <w:r w:rsidDel="00000000" w:rsidR="00000000" w:rsidRPr="00000000">
        <w:rPr>
          <w:rtl w:val="0"/>
        </w:rPr>
        <w:t xml:space="preserve">, </w:t>
      </w:r>
      <w:r w:rsidDel="00000000" w:rsidR="00000000" w:rsidRPr="00000000">
        <w:rPr>
          <w:i w:val="1"/>
          <w:iCs w:val="1"/>
          <w:rtl w:val="0"/>
        </w:rPr>
        <w:t xml:space="preserve">137</w:t>
      </w:r>
      <w:r w:rsidDel="00000000" w:rsidR="00000000" w:rsidRPr="00000000">
        <w:rPr>
          <w:rtl w:val="0"/>
        </w:rPr>
        <w:t xml:space="preserve">(11). </w:t>
      </w:r>
      <w:hyperlink r:id="rId10">
        <w:r w:rsidDel="00000000" w:rsidR="00000000" w:rsidRPr="00000000">
          <w:rPr>
            <w:color w:val="1155cc"/>
            <w:u w:val="single"/>
            <w:rtl w:val="0"/>
          </w:rPr>
          <w:t xml:space="preserve">https://doi.org/10.4067/S0034-98872009001100008</w:t>
        </w:r>
      </w:hyperlink>
      <w:r w:rsidDel="00000000" w:rsidR="00000000" w:rsidRPr="00000000">
        <w:rPr>
          <w:rtl w:val="0"/>
        </w:rPr>
      </w:r>
    </w:p>
    <w:p w:rsidR="00000000" w:rsidDel="00000000" w:rsidP="00000000" w:rsidRDefault="00000000" w:rsidRPr="00000000" w14:paraId="00000081">
      <w:pPr>
        <w:widowControl w:val="0"/>
        <w:spacing w:line="480" w:lineRule="auto"/>
        <w:ind w:left="720.0000000000001" w:hanging="720.0000000000001"/>
        <w:jc w:val="both"/>
        <w:rPr/>
      </w:pPr>
      <w:r w:rsidDel="00000000" w:rsidR="00000000" w:rsidRPr="00000000">
        <w:rPr>
          <w:rtl w:val="0"/>
        </w:rPr>
        <w:t xml:space="preserve">Arias-Gallegos, W. L., Huamani-Cahua, J. C., &amp; Choque-Vera, R. (2018). Análisis psicométrico del test de Fagerström de dependencia a la nicotina en una muestra de estudiantes universitarios de Arequipa, Perú. </w:t>
      </w:r>
      <w:r w:rsidDel="00000000" w:rsidR="00000000" w:rsidRPr="00000000">
        <w:rPr>
          <w:i w:val="1"/>
          <w:iCs w:val="1"/>
          <w:rtl w:val="0"/>
        </w:rPr>
        <w:t xml:space="preserve">Acta Médica Peruana, 35</w:t>
      </w:r>
      <w:r w:rsidDel="00000000" w:rsidR="00000000" w:rsidRPr="00000000">
        <w:rPr>
          <w:rtl w:val="0"/>
        </w:rPr>
        <w:t xml:space="preserve">(3), 174–179. https://doi.org/10.35663/amp.2018.353.49</w:t>
      </w:r>
    </w:p>
    <w:p w:rsidR="00000000" w:rsidDel="00000000" w:rsidP="00000000" w:rsidRDefault="00000000" w:rsidRPr="00000000" w14:paraId="00000082">
      <w:pPr>
        <w:widowControl w:val="0"/>
        <w:spacing w:line="480" w:lineRule="auto"/>
        <w:ind w:left="720.0000000000001" w:hanging="720.0000000000001"/>
        <w:jc w:val="both"/>
        <w:rPr/>
      </w:pPr>
      <w:r w:rsidDel="00000000" w:rsidR="00000000" w:rsidRPr="00000000">
        <w:rPr>
          <w:rtl w:val="0"/>
        </w:rPr>
        <w:t xml:space="preserve">Belanger, M. J., Chen, H., Hentschel, A., Garbusow, M., Ebrahimi, C., Knorr, F. G., Zech, H. G., Pilhatsch, M., Heinz, A., &amp; Smolka, M. N. (2022). </w:t>
      </w:r>
      <w:r w:rsidDel="00000000" w:rsidR="00000000" w:rsidRPr="00000000">
        <w:rPr>
          <w:rtl w:val="0"/>
        </w:rPr>
        <w:t xml:space="preserve">Development of novel tasks to assess outcome-specific and general Pavlovian-to-instrumental transfer in humans</w:t>
      </w:r>
      <w:r w:rsidDel="00000000" w:rsidR="00000000" w:rsidRPr="00000000">
        <w:rPr>
          <w:rtl w:val="0"/>
        </w:rPr>
        <w:t xml:space="preserve">. </w:t>
      </w:r>
      <w:r w:rsidDel="00000000" w:rsidR="00000000" w:rsidRPr="00000000">
        <w:rPr>
          <w:rtl w:val="0"/>
        </w:rPr>
        <w:t xml:space="preserve">Neuropsychobiology, 81</w:t>
      </w:r>
      <w:r w:rsidDel="00000000" w:rsidR="00000000" w:rsidRPr="00000000">
        <w:rPr>
          <w:rtl w:val="0"/>
        </w:rPr>
        <w:t xml:space="preserve">(5), 370–386. </w:t>
      </w:r>
      <w:hyperlink r:id="rId11">
        <w:r w:rsidDel="00000000" w:rsidR="00000000" w:rsidRPr="00000000">
          <w:rPr>
            <w:color w:val="1155cc"/>
            <w:u w:val="single"/>
            <w:rtl w:val="0"/>
          </w:rPr>
          <w:t xml:space="preserve">https://doi.org/10.1159/000526774</w:t>
        </w:r>
      </w:hyperlink>
      <w:r w:rsidDel="00000000" w:rsidR="00000000" w:rsidRPr="00000000">
        <w:rPr>
          <w:rtl w:val="0"/>
        </w:rPr>
      </w:r>
    </w:p>
    <w:p w:rsidR="00000000" w:rsidDel="00000000" w:rsidP="00000000" w:rsidRDefault="00000000" w:rsidRPr="00000000" w14:paraId="00000083">
      <w:pPr>
        <w:widowControl w:val="0"/>
        <w:spacing w:line="480" w:lineRule="auto"/>
        <w:ind w:left="720.0000000000001" w:hanging="720.0000000000001"/>
        <w:jc w:val="both"/>
        <w:rPr/>
      </w:pPr>
      <w:r w:rsidDel="00000000" w:rsidR="00000000" w:rsidRPr="00000000">
        <w:rPr>
          <w:rtl w:val="0"/>
        </w:rPr>
        <w:t xml:space="preserve">Badioli, M., Degni, L. A. E., Dalbagno, D., Danti, C., Starita, F., di Pellegrino, G., &amp; Benassi, M. (2024). </w:t>
      </w:r>
      <w:r w:rsidDel="00000000" w:rsidR="00000000" w:rsidRPr="00000000">
        <w:rPr>
          <w:rtl w:val="0"/>
        </w:rPr>
        <w:t xml:space="preserve">Unraveling the influence of Pavlovian cues on decision-making: A pre-registered meta-analysis on Pavlovian-to-instrumental transfer</w:t>
      </w:r>
      <w:r w:rsidDel="00000000" w:rsidR="00000000" w:rsidRPr="00000000">
        <w:rPr>
          <w:rtl w:val="0"/>
        </w:rPr>
        <w:t xml:space="preserve">. </w:t>
      </w:r>
      <w:r w:rsidDel="00000000" w:rsidR="00000000" w:rsidRPr="00000000">
        <w:rPr>
          <w:rtl w:val="0"/>
        </w:rPr>
        <w:t xml:space="preserve">Neuroscience &amp; Biobehavioral Reviews, 164</w:t>
      </w:r>
      <w:r w:rsidDel="00000000" w:rsidR="00000000" w:rsidRPr="00000000">
        <w:rPr>
          <w:rtl w:val="0"/>
        </w:rPr>
        <w:t xml:space="preserve">, 105829. </w:t>
      </w:r>
      <w:hyperlink r:id="rId12">
        <w:r w:rsidDel="00000000" w:rsidR="00000000" w:rsidRPr="00000000">
          <w:rPr>
            <w:color w:val="1155cc"/>
            <w:u w:val="single"/>
            <w:rtl w:val="0"/>
          </w:rPr>
          <w:t xml:space="preserve">https://doi.org/10.1016/j.neubiorev.2024.105829</w:t>
        </w:r>
      </w:hyperlink>
      <w:r w:rsidDel="00000000" w:rsidR="00000000" w:rsidRPr="00000000">
        <w:rPr>
          <w:rtl w:val="0"/>
        </w:rPr>
      </w:r>
    </w:p>
    <w:p w:rsidR="00000000" w:rsidDel="00000000" w:rsidP="00000000" w:rsidRDefault="00000000" w:rsidRPr="00000000" w14:paraId="00000084">
      <w:pPr>
        <w:widowControl w:val="0"/>
        <w:spacing w:line="480" w:lineRule="auto"/>
        <w:ind w:left="720.0000000000001" w:hanging="720.0000000000001"/>
        <w:jc w:val="both"/>
        <w:rPr/>
      </w:pPr>
      <w:r w:rsidDel="00000000" w:rsidR="00000000" w:rsidRPr="00000000">
        <w:rPr>
          <w:rtl w:val="0"/>
        </w:rPr>
        <w:t xml:space="preserve">Birak, K. S., Terry, P., &amp; Higgs, S. (2010). Effect of cues associated with an alcoholic beverage on executive function. </w:t>
      </w:r>
      <w:r w:rsidDel="00000000" w:rsidR="00000000" w:rsidRPr="00000000">
        <w:rPr>
          <w:i w:val="1"/>
          <w:iCs w:val="1"/>
          <w:rtl w:val="0"/>
        </w:rPr>
        <w:t xml:space="preserve">Journal of studies on alcohol and drugs</w:t>
      </w:r>
      <w:r w:rsidDel="00000000" w:rsidR="00000000" w:rsidRPr="00000000">
        <w:rPr>
          <w:rtl w:val="0"/>
        </w:rPr>
        <w:t xml:space="preserve">, </w:t>
      </w:r>
      <w:r w:rsidDel="00000000" w:rsidR="00000000" w:rsidRPr="00000000">
        <w:rPr>
          <w:i w:val="1"/>
          <w:iCs w:val="1"/>
          <w:rtl w:val="0"/>
        </w:rPr>
        <w:t xml:space="preserve">71</w:t>
      </w:r>
      <w:r w:rsidDel="00000000" w:rsidR="00000000" w:rsidRPr="00000000">
        <w:rPr>
          <w:rtl w:val="0"/>
        </w:rPr>
        <w:t xml:space="preserve">(4), 562–569.</w:t>
      </w:r>
    </w:p>
    <w:p w:rsidR="00000000" w:rsidDel="00000000" w:rsidP="00000000" w:rsidRDefault="00000000" w:rsidRPr="00000000" w14:paraId="00000085">
      <w:pPr>
        <w:widowControl w:val="0"/>
        <w:spacing w:line="480" w:lineRule="auto"/>
        <w:ind w:left="720.0000000000001" w:hanging="720.0000000000001"/>
        <w:jc w:val="both"/>
        <w:rPr/>
      </w:pPr>
      <w:r w:rsidDel="00000000" w:rsidR="00000000" w:rsidRPr="00000000">
        <w:rPr>
          <w:rtl w:val="0"/>
        </w:rPr>
        <w:t xml:space="preserve">Cartoni, E., Balleine, B., &amp; Baldassarre, G. (2016). Appetitive Pavlovian-instrumental Transfer: A review. </w:t>
      </w:r>
      <w:r w:rsidDel="00000000" w:rsidR="00000000" w:rsidRPr="00000000">
        <w:rPr>
          <w:i w:val="1"/>
          <w:iCs w:val="1"/>
          <w:rtl w:val="0"/>
        </w:rPr>
        <w:t xml:space="preserve">Neuroscience &amp; Biobehavioral Reviews</w:t>
      </w:r>
      <w:r w:rsidDel="00000000" w:rsidR="00000000" w:rsidRPr="00000000">
        <w:rPr>
          <w:rtl w:val="0"/>
        </w:rPr>
        <w:t xml:space="preserve">, </w:t>
      </w:r>
      <w:r w:rsidDel="00000000" w:rsidR="00000000" w:rsidRPr="00000000">
        <w:rPr>
          <w:i w:val="1"/>
          <w:iCs w:val="1"/>
          <w:rtl w:val="0"/>
        </w:rPr>
        <w:t xml:space="preserve">71</w:t>
      </w:r>
      <w:r w:rsidDel="00000000" w:rsidR="00000000" w:rsidRPr="00000000">
        <w:rPr>
          <w:rtl w:val="0"/>
        </w:rPr>
        <w:t xml:space="preserve">, 829–848. https://doi.org/10.1016/J.NEUBIOREV.2016.09.020</w:t>
      </w:r>
    </w:p>
    <w:p w:rsidR="00000000" w:rsidDel="00000000" w:rsidP="00000000" w:rsidRDefault="00000000" w:rsidRPr="00000000" w14:paraId="00000086">
      <w:pPr>
        <w:widowControl w:val="0"/>
        <w:spacing w:line="480" w:lineRule="auto"/>
        <w:ind w:left="720.0000000000001" w:hanging="720.0000000000001"/>
        <w:jc w:val="both"/>
        <w:rPr/>
      </w:pPr>
      <w:r w:rsidDel="00000000" w:rsidR="00000000" w:rsidRPr="00000000">
        <w:rPr>
          <w:rtl w:val="0"/>
        </w:rPr>
        <w:t xml:space="preserve">Compte, E. J., Cruzat-Mandich, C., Pérez Ríos, L., Vásquez, S., Gómez, N., &amp; Trujillo-ChiVacuan, E. (2023). Factor structure and psychometric properties of a multicultural Spanish-language version of the Eating Disorder-15 in a nonclinical sample of Chilean women. </w:t>
      </w:r>
      <w:r w:rsidDel="00000000" w:rsidR="00000000" w:rsidRPr="00000000">
        <w:rPr>
          <w:i w:val="1"/>
          <w:iCs w:val="1"/>
          <w:rtl w:val="0"/>
        </w:rPr>
        <w:t xml:space="preserve">International Journal of Eating Disorders</w:t>
      </w:r>
      <w:r w:rsidDel="00000000" w:rsidR="00000000" w:rsidRPr="00000000">
        <w:rPr>
          <w:rtl w:val="0"/>
        </w:rPr>
        <w:t xml:space="preserve">, </w:t>
      </w:r>
      <w:r w:rsidDel="00000000" w:rsidR="00000000" w:rsidRPr="00000000">
        <w:rPr>
          <w:i w:val="1"/>
          <w:iCs w:val="1"/>
          <w:rtl w:val="0"/>
        </w:rPr>
        <w:t xml:space="preserve">56</w:t>
      </w:r>
      <w:r w:rsidDel="00000000" w:rsidR="00000000" w:rsidRPr="00000000">
        <w:rPr>
          <w:rtl w:val="0"/>
        </w:rPr>
        <w:t xml:space="preserve">(4), 727–735. https://doi.org/10.1002/EAT.23860</w:t>
      </w:r>
    </w:p>
    <w:p w:rsidR="00000000" w:rsidDel="00000000" w:rsidP="00000000" w:rsidRDefault="00000000" w:rsidRPr="00000000" w14:paraId="00000087">
      <w:pPr>
        <w:widowControl w:val="0"/>
        <w:spacing w:line="480" w:lineRule="auto"/>
        <w:ind w:left="720.0000000000001" w:hanging="720.0000000000001"/>
        <w:jc w:val="both"/>
        <w:rPr/>
      </w:pPr>
      <w:r w:rsidDel="00000000" w:rsidR="00000000" w:rsidRPr="00000000">
        <w:rPr>
          <w:rtl w:val="0"/>
        </w:rPr>
        <w:t xml:space="preserve">Corbit, L. H., &amp; Janak, P. H. (2007). Ethanol-associated cues produce general pavlovian-instrumental transfer. </w:t>
      </w:r>
      <w:r w:rsidDel="00000000" w:rsidR="00000000" w:rsidRPr="00000000">
        <w:rPr>
          <w:i w:val="1"/>
          <w:iCs w:val="1"/>
          <w:rtl w:val="0"/>
        </w:rPr>
        <w:t xml:space="preserve">Alcoholism: Clinical and Experimental Research</w:t>
      </w:r>
      <w:r w:rsidDel="00000000" w:rsidR="00000000" w:rsidRPr="00000000">
        <w:rPr>
          <w:rtl w:val="0"/>
        </w:rPr>
        <w:t xml:space="preserve">, </w:t>
      </w:r>
      <w:r w:rsidDel="00000000" w:rsidR="00000000" w:rsidRPr="00000000">
        <w:rPr>
          <w:i w:val="1"/>
          <w:iCs w:val="1"/>
          <w:rtl w:val="0"/>
        </w:rPr>
        <w:t xml:space="preserve">31</w:t>
      </w:r>
      <w:r w:rsidDel="00000000" w:rsidR="00000000" w:rsidRPr="00000000">
        <w:rPr>
          <w:rtl w:val="0"/>
        </w:rPr>
        <w:t xml:space="preserve">(5), 766–774. https://doi.org/10.1111/j.1530-0277.2007.00359.x</w:t>
      </w:r>
    </w:p>
    <w:p w:rsidR="00000000" w:rsidDel="00000000" w:rsidP="00000000" w:rsidRDefault="00000000" w:rsidRPr="00000000" w14:paraId="00000088">
      <w:pPr>
        <w:widowControl w:val="0"/>
        <w:spacing w:line="480" w:lineRule="auto"/>
        <w:ind w:left="720.0000000000001" w:hanging="720.0000000000001"/>
        <w:jc w:val="both"/>
        <w:rPr/>
      </w:pPr>
      <w:r w:rsidDel="00000000" w:rsidR="00000000" w:rsidRPr="00000000">
        <w:rPr>
          <w:rtl w:val="0"/>
        </w:rPr>
        <w:t xml:space="preserve">Corbit, L. H., Janak, P. H., &amp; Balleine, B. W. (2007). General and outcome-specific forms of Pavlovian-instrumental transfer: the effect of shifts in motivational state and inactivation of the ventral tegmental area. </w:t>
      </w:r>
      <w:r w:rsidDel="00000000" w:rsidR="00000000" w:rsidRPr="00000000">
        <w:rPr>
          <w:i w:val="1"/>
          <w:iCs w:val="1"/>
          <w:rtl w:val="0"/>
        </w:rPr>
        <w:t xml:space="preserve">European Journal of Neuroscience</w:t>
      </w:r>
      <w:r w:rsidDel="00000000" w:rsidR="00000000" w:rsidRPr="00000000">
        <w:rPr>
          <w:rtl w:val="0"/>
        </w:rPr>
        <w:t xml:space="preserve">, </w:t>
      </w:r>
      <w:r w:rsidDel="00000000" w:rsidR="00000000" w:rsidRPr="00000000">
        <w:rPr>
          <w:i w:val="1"/>
          <w:iCs w:val="1"/>
          <w:rtl w:val="0"/>
        </w:rPr>
        <w:t xml:space="preserve">26</w:t>
      </w:r>
      <w:r w:rsidDel="00000000" w:rsidR="00000000" w:rsidRPr="00000000">
        <w:rPr>
          <w:rtl w:val="0"/>
        </w:rPr>
        <w:t xml:space="preserve">(11), 3141–3149. </w:t>
      </w:r>
      <w:hyperlink r:id="rId13">
        <w:r w:rsidDel="00000000" w:rsidR="00000000" w:rsidRPr="00000000">
          <w:rPr>
            <w:color w:val="1155cc"/>
            <w:u w:val="single"/>
            <w:rtl w:val="0"/>
          </w:rPr>
          <w:t xml:space="preserve">https://doi.org/10.1111/j.1460-9568.2007.05934.x</w:t>
        </w:r>
      </w:hyperlink>
      <w:r w:rsidDel="00000000" w:rsidR="00000000" w:rsidRPr="00000000">
        <w:rPr>
          <w:rtl w:val="0"/>
        </w:rPr>
      </w:r>
    </w:p>
    <w:p w:rsidR="00000000" w:rsidDel="00000000" w:rsidP="00000000" w:rsidRDefault="00000000" w:rsidRPr="00000000" w14:paraId="00000089">
      <w:pPr>
        <w:widowControl w:val="0"/>
        <w:spacing w:line="480" w:lineRule="auto"/>
        <w:ind w:left="720.0000000000001" w:hanging="720.0000000000001"/>
        <w:jc w:val="both"/>
        <w:rPr/>
      </w:pPr>
      <w:r w:rsidDel="00000000" w:rsidR="00000000" w:rsidRPr="00000000">
        <w:rPr>
          <w:rtl w:val="0"/>
        </w:rPr>
        <w:t xml:space="preserve">Garbusow, M., Ebrahimi, C., Riemerschmid, C., Daldrup, L., Rothkirch, M., Chen, K., Belanger, M. J., Hentschel, A., Smolka, M. N., Heinz, A., &amp; Pilhatsch, M. (2022). </w:t>
      </w:r>
      <w:r w:rsidDel="00000000" w:rsidR="00000000" w:rsidRPr="00000000">
        <w:rPr>
          <w:rtl w:val="0"/>
        </w:rPr>
        <w:t xml:space="preserve">Pavlovian‑to‑instrumental transfer across mental disorders: A review</w:t>
      </w:r>
      <w:r w:rsidDel="00000000" w:rsidR="00000000" w:rsidRPr="00000000">
        <w:rPr>
          <w:rtl w:val="0"/>
        </w:rPr>
        <w:t xml:space="preserve">. </w:t>
      </w:r>
      <w:r w:rsidDel="00000000" w:rsidR="00000000" w:rsidRPr="00000000">
        <w:rPr>
          <w:rtl w:val="0"/>
        </w:rPr>
        <w:t xml:space="preserve">Neuropsychobiology, 81</w:t>
      </w:r>
      <w:r w:rsidDel="00000000" w:rsidR="00000000" w:rsidRPr="00000000">
        <w:rPr>
          <w:rtl w:val="0"/>
        </w:rPr>
        <w:t xml:space="preserve">(5), 418–437. </w:t>
      </w:r>
      <w:hyperlink r:id="rId14">
        <w:r w:rsidDel="00000000" w:rsidR="00000000" w:rsidRPr="00000000">
          <w:rPr>
            <w:color w:val="1155cc"/>
            <w:u w:val="single"/>
            <w:rtl w:val="0"/>
          </w:rPr>
          <w:t xml:space="preserve">https://doi.org/10.1159/000525579</w:t>
        </w:r>
      </w:hyperlink>
      <w:r w:rsidDel="00000000" w:rsidR="00000000" w:rsidRPr="00000000">
        <w:rPr>
          <w:rtl w:val="0"/>
        </w:rPr>
      </w:r>
    </w:p>
    <w:p w:rsidR="00000000" w:rsidDel="00000000" w:rsidP="00000000" w:rsidRDefault="00000000" w:rsidRPr="00000000" w14:paraId="0000008A">
      <w:pPr>
        <w:widowControl w:val="0"/>
        <w:spacing w:line="480" w:lineRule="auto"/>
        <w:ind w:left="720.0000000000001" w:hanging="720.0000000000001"/>
        <w:jc w:val="both"/>
        <w:rPr/>
      </w:pPr>
      <w:r w:rsidDel="00000000" w:rsidR="00000000" w:rsidRPr="00000000">
        <w:rPr>
          <w:rtl w:val="0"/>
        </w:rPr>
        <w:t xml:space="preserve">Gladding, J. M., Bradfield, L. A., &amp; Kendig, M. D. (2023). </w:t>
      </w:r>
      <w:r w:rsidDel="00000000" w:rsidR="00000000" w:rsidRPr="00000000">
        <w:rPr>
          <w:rtl w:val="0"/>
        </w:rPr>
        <w:t xml:space="preserve">Diet and obesity effects on cue‑driven food‑seeking: Insights from studies of Pavlovian‑instrumental transfer in rodents and humans</w:t>
      </w:r>
      <w:r w:rsidDel="00000000" w:rsidR="00000000" w:rsidRPr="00000000">
        <w:rPr>
          <w:rtl w:val="0"/>
        </w:rPr>
        <w:t xml:space="preserve">. </w:t>
      </w:r>
      <w:r w:rsidDel="00000000" w:rsidR="00000000" w:rsidRPr="00000000">
        <w:rPr>
          <w:rtl w:val="0"/>
        </w:rPr>
        <w:t xml:space="preserve">Frontiers in Behavioral Neuroscience, 17</w:t>
      </w:r>
      <w:r w:rsidDel="00000000" w:rsidR="00000000" w:rsidRPr="00000000">
        <w:rPr>
          <w:rtl w:val="0"/>
        </w:rPr>
        <w:t xml:space="preserve">, 1199887. </w:t>
      </w:r>
      <w:hyperlink r:id="rId15">
        <w:r w:rsidDel="00000000" w:rsidR="00000000" w:rsidRPr="00000000">
          <w:rPr>
            <w:color w:val="1155cc"/>
            <w:u w:val="single"/>
            <w:rtl w:val="0"/>
          </w:rPr>
          <w:t xml:space="preserve">https://doi.org/10.3389/fnbeh.2023.1199887</w:t>
        </w:r>
      </w:hyperlink>
      <w:r w:rsidDel="00000000" w:rsidR="00000000" w:rsidRPr="00000000">
        <w:rPr>
          <w:rtl w:val="0"/>
        </w:rPr>
      </w:r>
    </w:p>
    <w:p w:rsidR="00000000" w:rsidDel="00000000" w:rsidP="00000000" w:rsidRDefault="00000000" w:rsidRPr="00000000" w14:paraId="0000008B">
      <w:pPr>
        <w:widowControl w:val="0"/>
        <w:spacing w:line="480" w:lineRule="auto"/>
        <w:ind w:left="720.0000000000001" w:hanging="720.0000000000001"/>
        <w:jc w:val="both"/>
        <w:rPr/>
      </w:pPr>
      <w:r w:rsidDel="00000000" w:rsidR="00000000" w:rsidRPr="00000000">
        <w:rPr>
          <w:rtl w:val="0"/>
        </w:rPr>
        <w:t xml:space="preserve">G</w:t>
      </w:r>
      <w:r w:rsidDel="00000000" w:rsidR="00000000" w:rsidRPr="00000000">
        <w:rPr>
          <w:rtl w:val="0"/>
        </w:rPr>
        <w:t xml:space="preserve">onzález, V. V., Miguez, G., Quezada, V. E., Mallea, J., &amp; Laborda, M. A. (2019). Ethanol tolerance from a Pavlovian perspective. </w:t>
      </w:r>
      <w:r w:rsidDel="00000000" w:rsidR="00000000" w:rsidRPr="00000000">
        <w:rPr>
          <w:i w:val="1"/>
          <w:iCs w:val="1"/>
          <w:rtl w:val="0"/>
        </w:rPr>
        <w:t xml:space="preserve">Psychology &amp; Neuroscience</w:t>
      </w:r>
      <w:r w:rsidDel="00000000" w:rsidR="00000000" w:rsidRPr="00000000">
        <w:rPr>
          <w:rtl w:val="0"/>
        </w:rPr>
        <w:t xml:space="preserve">. </w:t>
      </w:r>
      <w:hyperlink r:id="rId16">
        <w:r w:rsidDel="00000000" w:rsidR="00000000" w:rsidRPr="00000000">
          <w:rPr>
            <w:color w:val="1155cc"/>
            <w:u w:val="single"/>
            <w:rtl w:val="0"/>
          </w:rPr>
          <w:t xml:space="preserve">https://doi.org/10.1037/pne0000181</w:t>
        </w:r>
      </w:hyperlink>
      <w:r w:rsidDel="00000000" w:rsidR="00000000" w:rsidRPr="00000000">
        <w:rPr>
          <w:rtl w:val="0"/>
        </w:rPr>
      </w:r>
    </w:p>
    <w:p w:rsidR="00000000" w:rsidDel="00000000" w:rsidP="00000000" w:rsidRDefault="00000000" w:rsidRPr="00000000" w14:paraId="0000008C">
      <w:pPr>
        <w:widowControl w:val="0"/>
        <w:spacing w:line="480" w:lineRule="auto"/>
        <w:ind w:left="720.0000000000001" w:hanging="720.0000000000001"/>
        <w:jc w:val="both"/>
        <w:rPr/>
      </w:pPr>
      <w:r w:rsidDel="00000000" w:rsidR="00000000" w:rsidRPr="00000000">
        <w:rPr>
          <w:rtl w:val="0"/>
        </w:rPr>
        <w:t xml:space="preserve">González, F., Garre‑Frutos, F., Hinojosa‑Aguayo, I., &amp; Hall, G. (2025). </w:t>
      </w:r>
      <w:r w:rsidDel="00000000" w:rsidR="00000000" w:rsidRPr="00000000">
        <w:rPr>
          <w:rtl w:val="0"/>
        </w:rPr>
        <w:t xml:space="preserve">Extinction of outcome-specific Pavlovian-to-instrumental transfer, instrumental outcome devaluation, and reward-related attentional capture are predicted by affect-driven impulsivity</w:t>
      </w:r>
      <w:r w:rsidDel="00000000" w:rsidR="00000000" w:rsidRPr="00000000">
        <w:rPr>
          <w:rtl w:val="0"/>
        </w:rPr>
        <w:t xml:space="preserve">. Learning &amp; Behavior. </w:t>
      </w:r>
      <w:hyperlink r:id="rId17">
        <w:r w:rsidDel="00000000" w:rsidR="00000000" w:rsidRPr="00000000">
          <w:rPr>
            <w:color w:val="1155cc"/>
            <w:u w:val="single"/>
            <w:rtl w:val="0"/>
          </w:rPr>
          <w:t xml:space="preserve">https://doi.org/10.3758/s13420-025-00676-1</w:t>
        </w:r>
      </w:hyperlink>
      <w:r w:rsidDel="00000000" w:rsidR="00000000" w:rsidRPr="00000000">
        <w:rPr>
          <w:rtl w:val="0"/>
        </w:rPr>
      </w:r>
    </w:p>
    <w:p w:rsidR="00000000" w:rsidDel="00000000" w:rsidP="00000000" w:rsidRDefault="00000000" w:rsidRPr="00000000" w14:paraId="0000008D">
      <w:pPr>
        <w:widowControl w:val="0"/>
        <w:spacing w:line="480" w:lineRule="auto"/>
        <w:ind w:left="720.0000000000001" w:hanging="720.0000000000001"/>
        <w:jc w:val="both"/>
        <w:rPr/>
      </w:pPr>
      <w:r w:rsidDel="00000000" w:rsidR="00000000" w:rsidRPr="00000000">
        <w:rPr>
          <w:rtl w:val="0"/>
        </w:rPr>
        <w:t xml:space="preserve">Hogarth, L. (2018). A Critical Review of Habit Theory of Drug Dependence. </w:t>
      </w:r>
      <w:r w:rsidDel="00000000" w:rsidR="00000000" w:rsidRPr="00000000">
        <w:rPr>
          <w:i w:val="1"/>
          <w:iCs w:val="1"/>
          <w:rtl w:val="0"/>
        </w:rPr>
        <w:t xml:space="preserve">The Psychology of Habit: Theory, Mechanisms, Change, and Contexts</w:t>
      </w:r>
      <w:r w:rsidDel="00000000" w:rsidR="00000000" w:rsidRPr="00000000">
        <w:rPr>
          <w:rtl w:val="0"/>
        </w:rPr>
        <w:t xml:space="preserve">, 325–341. https://doi.org/10.1007/978-3-319-97529-0_18</w:t>
      </w:r>
    </w:p>
    <w:p w:rsidR="00000000" w:rsidDel="00000000" w:rsidP="00000000" w:rsidRDefault="00000000" w:rsidRPr="00000000" w14:paraId="0000008E">
      <w:pPr>
        <w:widowControl w:val="0"/>
        <w:spacing w:line="480" w:lineRule="auto"/>
        <w:ind w:left="720.0000000000001" w:hanging="720.0000000000001"/>
        <w:jc w:val="both"/>
        <w:rPr/>
      </w:pPr>
      <w:r w:rsidDel="00000000" w:rsidR="00000000" w:rsidRPr="00000000">
        <w:rPr>
          <w:rtl w:val="0"/>
        </w:rPr>
        <w:t xml:space="preserve">Hogarth, L., Balleine, B. W., Corbit, L. H., &amp; Killcross, S. (2013). Associative learning mechanisms underpinning the transition from recreational drug use to addiction. </w:t>
      </w:r>
      <w:r w:rsidDel="00000000" w:rsidR="00000000" w:rsidRPr="00000000">
        <w:rPr>
          <w:i w:val="1"/>
          <w:iCs w:val="1"/>
          <w:rtl w:val="0"/>
        </w:rPr>
        <w:t xml:space="preserve">Annals of the New York Academy of Sciences</w:t>
      </w:r>
      <w:r w:rsidDel="00000000" w:rsidR="00000000" w:rsidRPr="00000000">
        <w:rPr>
          <w:rtl w:val="0"/>
        </w:rPr>
        <w:t xml:space="preserve">, </w:t>
      </w:r>
      <w:r w:rsidDel="00000000" w:rsidR="00000000" w:rsidRPr="00000000">
        <w:rPr>
          <w:i w:val="1"/>
          <w:iCs w:val="1"/>
          <w:rtl w:val="0"/>
        </w:rPr>
        <w:t xml:space="preserve">1282</w:t>
      </w:r>
      <w:r w:rsidDel="00000000" w:rsidR="00000000" w:rsidRPr="00000000">
        <w:rPr>
          <w:rtl w:val="0"/>
        </w:rPr>
        <w:t xml:space="preserve">(1), 12–24. https://doi.org/10.1111/J.1749-6632.2012.06768.X</w:t>
      </w:r>
    </w:p>
    <w:p w:rsidR="00000000" w:rsidDel="00000000" w:rsidP="00000000" w:rsidRDefault="00000000" w:rsidRPr="00000000" w14:paraId="0000008F">
      <w:pPr>
        <w:widowControl w:val="0"/>
        <w:spacing w:line="480" w:lineRule="auto"/>
        <w:ind w:left="720.0000000000001" w:hanging="720.0000000000001"/>
        <w:jc w:val="both"/>
        <w:rPr/>
      </w:pPr>
      <w:r w:rsidDel="00000000" w:rsidR="00000000" w:rsidRPr="00000000">
        <w:rPr>
          <w:rtl w:val="0"/>
        </w:rPr>
        <w:t xml:space="preserve">Hogarth, L., Dickinson, A., Hutton, S. B., Elbers, N., &amp; Duka, T. (2006). Drug expectancy is necessary for stimulus control of human attention, instrumental drug-seeking behaviour and subjective pleasure. </w:t>
      </w:r>
      <w:r w:rsidDel="00000000" w:rsidR="00000000" w:rsidRPr="00000000">
        <w:rPr>
          <w:i w:val="1"/>
          <w:iCs w:val="1"/>
          <w:rtl w:val="0"/>
        </w:rPr>
        <w:t xml:space="preserve">Psychopharmacology</w:t>
      </w:r>
      <w:r w:rsidDel="00000000" w:rsidR="00000000" w:rsidRPr="00000000">
        <w:rPr>
          <w:rtl w:val="0"/>
        </w:rPr>
        <w:t xml:space="preserve">, </w:t>
      </w:r>
      <w:r w:rsidDel="00000000" w:rsidR="00000000" w:rsidRPr="00000000">
        <w:rPr>
          <w:i w:val="1"/>
          <w:iCs w:val="1"/>
          <w:rtl w:val="0"/>
        </w:rPr>
        <w:t xml:space="preserve">185</w:t>
      </w:r>
      <w:r w:rsidDel="00000000" w:rsidR="00000000" w:rsidRPr="00000000">
        <w:rPr>
          <w:rtl w:val="0"/>
        </w:rPr>
        <w:t xml:space="preserve">(4), 495–504. https://doi.org/10.1007/S00213-005-0287-X/FIGURES/8</w:t>
      </w:r>
    </w:p>
    <w:p w:rsidR="00000000" w:rsidDel="00000000" w:rsidP="00000000" w:rsidRDefault="00000000" w:rsidRPr="00000000" w14:paraId="00000090">
      <w:pPr>
        <w:widowControl w:val="0"/>
        <w:spacing w:line="480" w:lineRule="auto"/>
        <w:ind w:left="720.0000000000001" w:hanging="720.0000000000001"/>
        <w:jc w:val="both"/>
        <w:rPr/>
      </w:pPr>
      <w:r w:rsidDel="00000000" w:rsidR="00000000" w:rsidRPr="00000000">
        <w:rPr>
          <w:rtl w:val="0"/>
        </w:rPr>
        <w:t xml:space="preserve">Hogarth, L., Dickinson, A., Wright, A., Kouvaraki, M., &amp; Duka, T. (2007). The role of drug expectancy in the control of human drug seeking. </w:t>
      </w:r>
      <w:r w:rsidDel="00000000" w:rsidR="00000000" w:rsidRPr="00000000">
        <w:rPr>
          <w:i w:val="1"/>
          <w:iCs w:val="1"/>
          <w:rtl w:val="0"/>
        </w:rPr>
        <w:t xml:space="preserve">Journal of Experimental Psychology: Animal Behavior Processes</w:t>
      </w:r>
      <w:r w:rsidDel="00000000" w:rsidR="00000000" w:rsidRPr="00000000">
        <w:rPr>
          <w:rtl w:val="0"/>
        </w:rPr>
        <w:t xml:space="preserve">, </w:t>
      </w:r>
      <w:r w:rsidDel="00000000" w:rsidR="00000000" w:rsidRPr="00000000">
        <w:rPr>
          <w:i w:val="1"/>
          <w:iCs w:val="1"/>
          <w:rtl w:val="0"/>
        </w:rPr>
        <w:t xml:space="preserve">33</w:t>
      </w:r>
      <w:r w:rsidDel="00000000" w:rsidR="00000000" w:rsidRPr="00000000">
        <w:rPr>
          <w:rtl w:val="0"/>
        </w:rPr>
        <w:t xml:space="preserve">(4), 484–496. https://doi.org/10.1037/0097-7403.33.4.484</w:t>
      </w:r>
    </w:p>
    <w:p w:rsidR="00000000" w:rsidDel="00000000" w:rsidP="00000000" w:rsidRDefault="00000000" w:rsidRPr="00000000" w14:paraId="00000091">
      <w:pPr>
        <w:widowControl w:val="0"/>
        <w:spacing w:line="480" w:lineRule="auto"/>
        <w:ind w:left="720.0000000000001" w:hanging="720.0000000000001"/>
        <w:jc w:val="both"/>
        <w:rPr/>
      </w:pPr>
      <w:r w:rsidDel="00000000" w:rsidR="00000000" w:rsidRPr="00000000">
        <w:rPr>
          <w:rtl w:val="0"/>
        </w:rPr>
        <w:t xml:space="preserve">Hogarth, L., Lam-Cassettari, C., Pacitti, H., Currah, T., Mahlberg, J., Hartley, L., &amp; Moustafa, A. (2019). Intact goal-directed control in treatment-seeking drug users indexed by outcome-devaluation and Pavlovian to instrumental transfer: critique of habit theory. </w:t>
      </w:r>
      <w:r w:rsidDel="00000000" w:rsidR="00000000" w:rsidRPr="00000000">
        <w:rPr>
          <w:i w:val="1"/>
          <w:iCs w:val="1"/>
          <w:rtl w:val="0"/>
        </w:rPr>
        <w:t xml:space="preserve">European Journal of Neuroscience</w:t>
      </w:r>
      <w:r w:rsidDel="00000000" w:rsidR="00000000" w:rsidRPr="00000000">
        <w:rPr>
          <w:rtl w:val="0"/>
        </w:rPr>
        <w:t xml:space="preserve">, </w:t>
      </w:r>
      <w:r w:rsidDel="00000000" w:rsidR="00000000" w:rsidRPr="00000000">
        <w:rPr>
          <w:i w:val="1"/>
          <w:iCs w:val="1"/>
          <w:rtl w:val="0"/>
        </w:rPr>
        <w:t xml:space="preserve">50</w:t>
      </w:r>
      <w:r w:rsidDel="00000000" w:rsidR="00000000" w:rsidRPr="00000000">
        <w:rPr>
          <w:rtl w:val="0"/>
        </w:rPr>
        <w:t xml:space="preserve">(3), 2513–2525. https://doi.org/10.1111/EJN.13961</w:t>
      </w:r>
    </w:p>
    <w:p w:rsidR="00000000" w:rsidDel="00000000" w:rsidP="00000000" w:rsidRDefault="00000000" w:rsidRPr="00000000" w14:paraId="00000092">
      <w:pPr>
        <w:widowControl w:val="0"/>
        <w:spacing w:line="480" w:lineRule="auto"/>
        <w:ind w:left="720.0000000000001" w:hanging="720.0000000000001"/>
        <w:jc w:val="both"/>
        <w:rPr/>
      </w:pPr>
      <w:r w:rsidDel="00000000" w:rsidR="00000000" w:rsidRPr="00000000">
        <w:rPr>
          <w:rtl w:val="0"/>
        </w:rPr>
        <w:t xml:space="preserve">Holland, P. C. (2004). Relations between Pavlovian-instrumental transfer and reinforcer devaluation. </w:t>
      </w:r>
      <w:r w:rsidDel="00000000" w:rsidR="00000000" w:rsidRPr="00000000">
        <w:rPr>
          <w:i w:val="1"/>
          <w:iCs w:val="1"/>
          <w:rtl w:val="0"/>
        </w:rPr>
        <w:t xml:space="preserve">Journal of experimental psychology. Animal behavior processes</w:t>
      </w:r>
      <w:r w:rsidDel="00000000" w:rsidR="00000000" w:rsidRPr="00000000">
        <w:rPr>
          <w:rtl w:val="0"/>
        </w:rPr>
        <w:t xml:space="preserve">, </w:t>
      </w:r>
      <w:r w:rsidDel="00000000" w:rsidR="00000000" w:rsidRPr="00000000">
        <w:rPr>
          <w:i w:val="1"/>
          <w:iCs w:val="1"/>
          <w:rtl w:val="0"/>
        </w:rPr>
        <w:t xml:space="preserve">30</w:t>
      </w:r>
      <w:r w:rsidDel="00000000" w:rsidR="00000000" w:rsidRPr="00000000">
        <w:rPr>
          <w:rtl w:val="0"/>
        </w:rPr>
        <w:t xml:space="preserve">(2), 104–117. https://doi.org/10.1037/0097-7403.30.2.104</w:t>
      </w:r>
    </w:p>
    <w:p w:rsidR="00000000" w:rsidDel="00000000" w:rsidP="00000000" w:rsidRDefault="00000000" w:rsidRPr="00000000" w14:paraId="00000093">
      <w:pPr>
        <w:widowControl w:val="0"/>
        <w:spacing w:line="480" w:lineRule="auto"/>
        <w:ind w:left="720.0000000000001" w:hanging="720.0000000000001"/>
        <w:jc w:val="both"/>
        <w:rPr/>
      </w:pPr>
      <w:r w:rsidDel="00000000" w:rsidR="00000000" w:rsidRPr="00000000">
        <w:rPr>
          <w:rtl w:val="0"/>
        </w:rPr>
        <w:t xml:space="preserve">Kirsten, H., Seib‑Pfeifer, L. E., &amp; Gibbons, H. (2022). </w:t>
      </w:r>
      <w:r w:rsidDel="00000000" w:rsidR="00000000" w:rsidRPr="00000000">
        <w:rPr>
          <w:rtl w:val="0"/>
        </w:rPr>
        <w:t xml:space="preserve">Helpless against food cues: The influence of pro‑ and anti‑sugar videos on instrumental food‑seeking behaviour in a Pavlovian‑to‑instrumental transfer paradigm</w:t>
      </w:r>
      <w:r w:rsidDel="00000000" w:rsidR="00000000" w:rsidRPr="00000000">
        <w:rPr>
          <w:rtl w:val="0"/>
        </w:rPr>
        <w:t xml:space="preserve">. </w:t>
      </w:r>
      <w:r w:rsidDel="00000000" w:rsidR="00000000" w:rsidRPr="00000000">
        <w:rPr>
          <w:rtl w:val="0"/>
        </w:rPr>
        <w:t xml:space="preserve">Psychology &amp; Health, 37</w:t>
      </w:r>
      <w:r w:rsidDel="00000000" w:rsidR="00000000" w:rsidRPr="00000000">
        <w:rPr>
          <w:rtl w:val="0"/>
        </w:rPr>
        <w:t xml:space="preserve">(5), 633–657. https://doi.org/10.1080/08870446.2021.1907388</w:t>
      </w:r>
      <w:r w:rsidDel="00000000" w:rsidR="00000000" w:rsidRPr="00000000">
        <w:rPr>
          <w:rtl w:val="0"/>
        </w:rPr>
      </w:r>
    </w:p>
    <w:p w:rsidR="00000000" w:rsidDel="00000000" w:rsidP="00000000" w:rsidRDefault="00000000" w:rsidRPr="00000000" w14:paraId="00000094">
      <w:pPr>
        <w:widowControl w:val="0"/>
        <w:spacing w:line="480" w:lineRule="auto"/>
        <w:ind w:left="720.0000000000001" w:hanging="720.0000000000001"/>
        <w:jc w:val="both"/>
        <w:rPr/>
      </w:pPr>
      <w:r w:rsidDel="00000000" w:rsidR="00000000" w:rsidRPr="00000000">
        <w:rPr>
          <w:rtl w:val="0"/>
        </w:rPr>
        <w:t xml:space="preserve">Kubilius, R. A., Kaplick, P. M., &amp; Wotjak, C. T. (2018). Highway to hell or magic smoke? The dose-dependence of Δ9-THC in place conditioning paradigms. </w:t>
      </w:r>
      <w:r w:rsidDel="00000000" w:rsidR="00000000" w:rsidRPr="00000000">
        <w:rPr>
          <w:i w:val="1"/>
          <w:iCs w:val="1"/>
          <w:rtl w:val="0"/>
        </w:rPr>
        <w:t xml:space="preserve">Learning &amp; Memory</w:t>
      </w:r>
      <w:r w:rsidDel="00000000" w:rsidR="00000000" w:rsidRPr="00000000">
        <w:rPr>
          <w:rtl w:val="0"/>
        </w:rPr>
        <w:t xml:space="preserve">, </w:t>
      </w:r>
      <w:r w:rsidDel="00000000" w:rsidR="00000000" w:rsidRPr="00000000">
        <w:rPr>
          <w:i w:val="1"/>
          <w:iCs w:val="1"/>
          <w:rtl w:val="0"/>
        </w:rPr>
        <w:t xml:space="preserve">25</w:t>
      </w:r>
      <w:r w:rsidDel="00000000" w:rsidR="00000000" w:rsidRPr="00000000">
        <w:rPr>
          <w:rtl w:val="0"/>
        </w:rPr>
        <w:t xml:space="preserve">(9), 446–454. https://doi.org/10.1101/LM.046870.117</w:t>
      </w:r>
    </w:p>
    <w:p w:rsidR="00000000" w:rsidDel="00000000" w:rsidP="00000000" w:rsidRDefault="00000000" w:rsidRPr="00000000" w14:paraId="00000095">
      <w:pPr>
        <w:widowControl w:val="0"/>
        <w:spacing w:line="480" w:lineRule="auto"/>
        <w:ind w:left="720.0000000000001" w:hanging="720.0000000000001"/>
        <w:jc w:val="both"/>
        <w:rPr/>
      </w:pPr>
      <w:r w:rsidDel="00000000" w:rsidR="00000000" w:rsidRPr="00000000">
        <w:rPr>
          <w:rtl w:val="0"/>
        </w:rPr>
        <w:t xml:space="preserve">Larson, S. J., &amp; Siegel, S. (1998). Learning and tolerance to the ataxic effect of ethanol. </w:t>
      </w:r>
      <w:r w:rsidDel="00000000" w:rsidR="00000000" w:rsidRPr="00000000">
        <w:rPr>
          <w:i w:val="1"/>
          <w:iCs w:val="1"/>
          <w:rtl w:val="0"/>
        </w:rPr>
        <w:t xml:space="preserve">Pharmacology Biochemistry and Behavior</w:t>
      </w:r>
      <w:r w:rsidDel="00000000" w:rsidR="00000000" w:rsidRPr="00000000">
        <w:rPr>
          <w:rtl w:val="0"/>
        </w:rPr>
        <w:t xml:space="preserve">, </w:t>
      </w:r>
      <w:r w:rsidDel="00000000" w:rsidR="00000000" w:rsidRPr="00000000">
        <w:rPr>
          <w:i w:val="1"/>
          <w:iCs w:val="1"/>
          <w:rtl w:val="0"/>
        </w:rPr>
        <w:t xml:space="preserve">61</w:t>
      </w:r>
      <w:r w:rsidDel="00000000" w:rsidR="00000000" w:rsidRPr="00000000">
        <w:rPr>
          <w:rtl w:val="0"/>
        </w:rPr>
        <w:t xml:space="preserve">(1), 131–142. https://doi.org/10.1016/S0091-3057(98)00072-0</w:t>
      </w:r>
    </w:p>
    <w:p w:rsidR="00000000" w:rsidDel="00000000" w:rsidP="00000000" w:rsidRDefault="00000000" w:rsidRPr="00000000" w14:paraId="00000096">
      <w:pPr>
        <w:widowControl w:val="0"/>
        <w:spacing w:line="480" w:lineRule="auto"/>
        <w:ind w:left="720.0000000000001" w:hanging="720.0000000000001"/>
        <w:jc w:val="both"/>
        <w:rPr/>
      </w:pPr>
      <w:r w:rsidDel="00000000" w:rsidR="00000000" w:rsidRPr="00000000">
        <w:rPr>
          <w:rtl w:val="0"/>
        </w:rPr>
        <w:t xml:space="preserve">Luijten, M., Gillan, C. M., De Wit, S., Franken, I. H. A., Robbins, T. W., &amp; Ersche, K. D. (2020). Goal-Directed and Habitual Control in Smokers. </w:t>
      </w:r>
      <w:r w:rsidDel="00000000" w:rsidR="00000000" w:rsidRPr="00000000">
        <w:rPr>
          <w:i w:val="1"/>
          <w:iCs w:val="1"/>
          <w:rtl w:val="0"/>
        </w:rPr>
        <w:t xml:space="preserve">Nicotine &amp; Tobacco Research</w:t>
      </w:r>
      <w:r w:rsidDel="00000000" w:rsidR="00000000" w:rsidRPr="00000000">
        <w:rPr>
          <w:rtl w:val="0"/>
        </w:rPr>
        <w:t xml:space="preserve">, </w:t>
      </w:r>
      <w:r w:rsidDel="00000000" w:rsidR="00000000" w:rsidRPr="00000000">
        <w:rPr>
          <w:i w:val="1"/>
          <w:iCs w:val="1"/>
          <w:rtl w:val="0"/>
        </w:rPr>
        <w:t xml:space="preserve">22</w:t>
      </w:r>
      <w:r w:rsidDel="00000000" w:rsidR="00000000" w:rsidRPr="00000000">
        <w:rPr>
          <w:rtl w:val="0"/>
        </w:rPr>
        <w:t xml:space="preserve">(2), 188–195. https://doi.org/10.1093/NTR/NTZ001</w:t>
      </w:r>
    </w:p>
    <w:p w:rsidR="00000000" w:rsidDel="00000000" w:rsidP="00000000" w:rsidRDefault="00000000" w:rsidRPr="00000000" w14:paraId="00000097">
      <w:pPr>
        <w:widowControl w:val="0"/>
        <w:spacing w:line="480" w:lineRule="auto"/>
        <w:ind w:left="720.0000000000001" w:hanging="720.0000000000001"/>
        <w:jc w:val="both"/>
        <w:rPr/>
      </w:pPr>
      <w:r w:rsidDel="00000000" w:rsidR="00000000" w:rsidRPr="00000000">
        <w:rPr>
          <w:rtl w:val="0"/>
        </w:rPr>
        <w:t xml:space="preserve">Mahlberg, J., Seabrooke, T., Weidemann, G., Hogarth, L., Mitchell, C. J., &amp; Moustafa, A. A. (2021). Human appetitive Pavlovian-to-instrumental transfer: a goal-directed account. </w:t>
      </w:r>
      <w:r w:rsidDel="00000000" w:rsidR="00000000" w:rsidRPr="00000000">
        <w:rPr>
          <w:i w:val="1"/>
          <w:iCs w:val="1"/>
          <w:rtl w:val="0"/>
        </w:rPr>
        <w:t xml:space="preserve">Psychological Research</w:t>
      </w:r>
      <w:r w:rsidDel="00000000" w:rsidR="00000000" w:rsidRPr="00000000">
        <w:rPr>
          <w:rtl w:val="0"/>
        </w:rPr>
        <w:t xml:space="preserve">, </w:t>
      </w:r>
      <w:r w:rsidDel="00000000" w:rsidR="00000000" w:rsidRPr="00000000">
        <w:rPr>
          <w:i w:val="1"/>
          <w:iCs w:val="1"/>
          <w:rtl w:val="0"/>
        </w:rPr>
        <w:t xml:space="preserve">85</w:t>
      </w:r>
      <w:r w:rsidDel="00000000" w:rsidR="00000000" w:rsidRPr="00000000">
        <w:rPr>
          <w:rtl w:val="0"/>
        </w:rPr>
        <w:t xml:space="preserve">(2), 449–463. https://doi.org/10.1007/S00426-019-01266-3/TABLES/3</w:t>
      </w:r>
    </w:p>
    <w:p w:rsidR="00000000" w:rsidDel="00000000" w:rsidP="00000000" w:rsidRDefault="00000000" w:rsidRPr="00000000" w14:paraId="00000098">
      <w:pPr>
        <w:widowControl w:val="0"/>
        <w:spacing w:line="480" w:lineRule="auto"/>
        <w:ind w:left="720.0000000000001" w:hanging="720.0000000000001"/>
        <w:jc w:val="both"/>
        <w:rPr/>
      </w:pPr>
      <w:r w:rsidDel="00000000" w:rsidR="00000000" w:rsidRPr="00000000">
        <w:rPr>
          <w:rtl w:val="0"/>
        </w:rPr>
        <w:t xml:space="preserve">Mahlberg, J., Weidemann, G., Hogarth, L., &amp; Moustafa, A. A. (2019). Cue-elicited craving and human Pavlovian-to-instrumental transfer. </w:t>
      </w:r>
      <w:r w:rsidDel="00000000" w:rsidR="00000000" w:rsidRPr="00000000">
        <w:rPr>
          <w:i w:val="1"/>
          <w:iCs w:val="1"/>
          <w:rtl w:val="0"/>
        </w:rPr>
        <w:t xml:space="preserve">Addiction Research &amp; Theory</w:t>
      </w:r>
      <w:r w:rsidDel="00000000" w:rsidR="00000000" w:rsidRPr="00000000">
        <w:rPr>
          <w:rtl w:val="0"/>
        </w:rPr>
        <w:t xml:space="preserve">, </w:t>
      </w:r>
      <w:r w:rsidDel="00000000" w:rsidR="00000000" w:rsidRPr="00000000">
        <w:rPr>
          <w:i w:val="1"/>
          <w:iCs w:val="1"/>
          <w:rtl w:val="0"/>
        </w:rPr>
        <w:t xml:space="preserve">27</w:t>
      </w:r>
      <w:r w:rsidDel="00000000" w:rsidR="00000000" w:rsidRPr="00000000">
        <w:rPr>
          <w:rtl w:val="0"/>
        </w:rPr>
        <w:t xml:space="preserve">(6), 482–488. https://doi.org/10.1080/16066359.2018.1544625</w:t>
      </w:r>
    </w:p>
    <w:p w:rsidR="00000000" w:rsidDel="00000000" w:rsidP="00000000" w:rsidRDefault="00000000" w:rsidRPr="00000000" w14:paraId="00000099">
      <w:pPr>
        <w:widowControl w:val="0"/>
        <w:spacing w:line="480" w:lineRule="auto"/>
        <w:ind w:left="720.0000000000001" w:hanging="720.0000000000001"/>
        <w:jc w:val="both"/>
        <w:rPr/>
      </w:pPr>
      <w:r w:rsidDel="00000000" w:rsidR="00000000" w:rsidRPr="00000000">
        <w:rPr>
          <w:rtl w:val="0"/>
        </w:rPr>
        <w:t xml:space="preserve">Manglani, H. R., Lewis, A. H., Wilson, S. J., &amp; Delgado, M. R. (2017). Pavlovian-to-Instrumental Transfer of Nicotine and Food Cues in Deprived Cigarette Smokers. </w:t>
      </w:r>
      <w:r w:rsidDel="00000000" w:rsidR="00000000" w:rsidRPr="00000000">
        <w:rPr>
          <w:i w:val="1"/>
          <w:iCs w:val="1"/>
          <w:rtl w:val="0"/>
        </w:rPr>
        <w:t xml:space="preserve">Nicotine &amp; tobacco research : official journal of the Society for Research on Nicotine and Tobacco</w:t>
      </w:r>
      <w:r w:rsidDel="00000000" w:rsidR="00000000" w:rsidRPr="00000000">
        <w:rPr>
          <w:rtl w:val="0"/>
        </w:rPr>
        <w:t xml:space="preserve">, </w:t>
      </w:r>
      <w:r w:rsidDel="00000000" w:rsidR="00000000" w:rsidRPr="00000000">
        <w:rPr>
          <w:i w:val="1"/>
          <w:iCs w:val="1"/>
          <w:rtl w:val="0"/>
        </w:rPr>
        <w:t xml:space="preserve">19</w:t>
      </w:r>
      <w:r w:rsidDel="00000000" w:rsidR="00000000" w:rsidRPr="00000000">
        <w:rPr>
          <w:rtl w:val="0"/>
        </w:rPr>
        <w:t xml:space="preserve">(6), 670–676. https://doi.org/10.1093/NTR/NTX007</w:t>
      </w:r>
    </w:p>
    <w:p w:rsidR="00000000" w:rsidDel="00000000" w:rsidP="00000000" w:rsidRDefault="00000000" w:rsidRPr="00000000" w14:paraId="0000009A">
      <w:pPr>
        <w:widowControl w:val="0"/>
        <w:spacing w:line="480" w:lineRule="auto"/>
        <w:ind w:left="720.0000000000001" w:hanging="720.0000000000001"/>
        <w:jc w:val="both"/>
        <w:rPr/>
      </w:pPr>
      <w:r w:rsidDel="00000000" w:rsidR="00000000" w:rsidRPr="00000000">
        <w:rPr>
          <w:rtl w:val="0"/>
        </w:rPr>
        <w:t xml:space="preserve">Murphy, E. S., McSweeney, F. K., Kowal, B. P., McDonald, J., &amp; Wiediger, R. V. (2006). Spontaneous recovery and dishabituation of ethanol-reinforced responding in alcohol-preferring rats. </w:t>
      </w:r>
      <w:r w:rsidDel="00000000" w:rsidR="00000000" w:rsidRPr="00000000">
        <w:rPr>
          <w:i w:val="1"/>
          <w:iCs w:val="1"/>
          <w:rtl w:val="0"/>
        </w:rPr>
        <w:t xml:space="preserve">Experimental and clinical psychopharmacology</w:t>
      </w:r>
      <w:r w:rsidDel="00000000" w:rsidR="00000000" w:rsidRPr="00000000">
        <w:rPr>
          <w:rtl w:val="0"/>
        </w:rPr>
        <w:t xml:space="preserve">, </w:t>
      </w:r>
      <w:r w:rsidDel="00000000" w:rsidR="00000000" w:rsidRPr="00000000">
        <w:rPr>
          <w:i w:val="1"/>
          <w:iCs w:val="1"/>
          <w:rtl w:val="0"/>
        </w:rPr>
        <w:t xml:space="preserve">14</w:t>
      </w:r>
      <w:r w:rsidDel="00000000" w:rsidR="00000000" w:rsidRPr="00000000">
        <w:rPr>
          <w:rtl w:val="0"/>
        </w:rPr>
        <w:t xml:space="preserve">(4), 471–482. https://doi.org/10.1037/1064-1297.14.4.471</w:t>
      </w:r>
    </w:p>
    <w:p w:rsidR="00000000" w:rsidDel="00000000" w:rsidP="00000000" w:rsidRDefault="00000000" w:rsidRPr="00000000" w14:paraId="0000009B">
      <w:pPr>
        <w:widowControl w:val="0"/>
        <w:spacing w:line="480" w:lineRule="auto"/>
        <w:ind w:left="720.0000000000001" w:hanging="720.0000000000001"/>
        <w:jc w:val="both"/>
        <w:rPr/>
      </w:pPr>
      <w:r w:rsidDel="00000000" w:rsidR="00000000" w:rsidRPr="00000000">
        <w:rPr>
          <w:rtl w:val="0"/>
        </w:rPr>
        <w:t xml:space="preserve">Olmstead, M. C., Lafond, M. V, Everitt, B. J., &amp; Dickinson, a. (2001). Cocaine seeking by rats is a goal-directed action. </w:t>
      </w:r>
      <w:r w:rsidDel="00000000" w:rsidR="00000000" w:rsidRPr="00000000">
        <w:rPr>
          <w:i w:val="1"/>
          <w:iCs w:val="1"/>
          <w:rtl w:val="0"/>
        </w:rPr>
        <w:t xml:space="preserve">Behavioral neuroscience</w:t>
      </w:r>
      <w:r w:rsidDel="00000000" w:rsidR="00000000" w:rsidRPr="00000000">
        <w:rPr>
          <w:rtl w:val="0"/>
        </w:rPr>
        <w:t xml:space="preserve">, </w:t>
      </w:r>
      <w:r w:rsidDel="00000000" w:rsidR="00000000" w:rsidRPr="00000000">
        <w:rPr>
          <w:i w:val="1"/>
          <w:iCs w:val="1"/>
          <w:rtl w:val="0"/>
        </w:rPr>
        <w:t xml:space="preserve">115</w:t>
      </w:r>
      <w:r w:rsidDel="00000000" w:rsidR="00000000" w:rsidRPr="00000000">
        <w:rPr>
          <w:rtl w:val="0"/>
        </w:rPr>
        <w:t xml:space="preserve">(2), 394–402. </w:t>
      </w:r>
      <w:hyperlink r:id="rId18">
        <w:r w:rsidDel="00000000" w:rsidR="00000000" w:rsidRPr="00000000">
          <w:rPr>
            <w:color w:val="1155cc"/>
            <w:u w:val="single"/>
            <w:rtl w:val="0"/>
          </w:rPr>
          <w:t xml:space="preserve">https://doi.org/10.1037/0735-7044.115.2.394</w:t>
        </w:r>
      </w:hyperlink>
      <w:r w:rsidDel="00000000" w:rsidR="00000000" w:rsidRPr="00000000">
        <w:rPr>
          <w:rtl w:val="0"/>
        </w:rPr>
      </w:r>
    </w:p>
    <w:p w:rsidR="00000000" w:rsidDel="00000000" w:rsidP="00000000" w:rsidRDefault="00000000" w:rsidRPr="00000000" w14:paraId="0000009C">
      <w:pPr>
        <w:widowControl w:val="0"/>
        <w:spacing w:line="480" w:lineRule="auto"/>
        <w:ind w:left="720.0000000000001" w:hanging="720.0000000000001"/>
        <w:jc w:val="both"/>
        <w:rPr/>
      </w:pPr>
      <w:r w:rsidDel="00000000" w:rsidR="00000000" w:rsidRPr="00000000">
        <w:rPr>
          <w:rtl w:val="0"/>
        </w:rPr>
        <w:t xml:space="preserve">Pavlov, I. P. (1927). </w:t>
      </w:r>
      <w:r w:rsidDel="00000000" w:rsidR="00000000" w:rsidRPr="00000000">
        <w:rPr>
          <w:i w:val="1"/>
          <w:iCs w:val="1"/>
          <w:rtl w:val="0"/>
        </w:rPr>
        <w:t xml:space="preserve">Conditioned reflexes: An investigation of the physiological activity of the cerebral cortex</w:t>
      </w:r>
      <w:r w:rsidDel="00000000" w:rsidR="00000000" w:rsidRPr="00000000">
        <w:rPr>
          <w:rtl w:val="0"/>
        </w:rPr>
        <w:t xml:space="preserve">.</w:t>
      </w:r>
    </w:p>
    <w:p w:rsidR="00000000" w:rsidDel="00000000" w:rsidP="00000000" w:rsidRDefault="00000000" w:rsidRPr="00000000" w14:paraId="0000009D">
      <w:pPr>
        <w:widowControl w:val="0"/>
        <w:spacing w:line="480" w:lineRule="auto"/>
        <w:ind w:left="720.0000000000001" w:hanging="720.0000000000001"/>
        <w:jc w:val="both"/>
        <w:rPr/>
      </w:pPr>
      <w:r w:rsidDel="00000000" w:rsidR="00000000" w:rsidRPr="00000000">
        <w:rPr>
          <w:rtl w:val="0"/>
        </w:rPr>
        <w:t xml:space="preserve">Pierce-Messick, Z., &amp; Corbit, L. H. (2024). Outcome Devaluation as a Means of Distinguishing Habits from Goal-Directed Actions. </w:t>
      </w:r>
      <w:r w:rsidDel="00000000" w:rsidR="00000000" w:rsidRPr="00000000">
        <w:rPr>
          <w:i w:val="1"/>
          <w:iCs w:val="1"/>
          <w:rtl w:val="0"/>
        </w:rPr>
        <w:t xml:space="preserve">Habits</w:t>
      </w:r>
      <w:r w:rsidDel="00000000" w:rsidR="00000000" w:rsidRPr="00000000">
        <w:rPr>
          <w:rtl w:val="0"/>
        </w:rPr>
        <w:t xml:space="preserve">, 23–43. https://doi.org/10.1007/978-3-031-55889-4_2</w:t>
      </w:r>
      <w:r w:rsidDel="00000000" w:rsidR="00000000" w:rsidRPr="00000000">
        <w:rPr>
          <w:rtl w:val="0"/>
        </w:rPr>
      </w:r>
    </w:p>
    <w:p w:rsidR="00000000" w:rsidDel="00000000" w:rsidP="00000000" w:rsidRDefault="00000000" w:rsidRPr="00000000" w14:paraId="0000009E">
      <w:pPr>
        <w:widowControl w:val="0"/>
        <w:spacing w:line="480" w:lineRule="auto"/>
        <w:ind w:left="720.0000000000001" w:hanging="720.0000000000001"/>
        <w:jc w:val="both"/>
        <w:rPr/>
      </w:pPr>
      <w:r w:rsidDel="00000000" w:rsidR="00000000" w:rsidRPr="00000000">
        <w:rPr>
          <w:rtl w:val="0"/>
        </w:rPr>
        <w:t xml:space="preserve">Qin, K., Marien, H., Custers, R., &amp; Aarts, H. (2023). </w:t>
      </w:r>
      <w:r w:rsidDel="00000000" w:rsidR="00000000" w:rsidRPr="00000000">
        <w:rPr>
          <w:rtl w:val="0"/>
        </w:rPr>
        <w:t xml:space="preserve">Environmental control of social goals: Using Pavlovian‑to‑instrumental transfer to test cue‑based pro‑self and pro‑social outcome responses</w:t>
      </w:r>
      <w:r w:rsidDel="00000000" w:rsidR="00000000" w:rsidRPr="00000000">
        <w:rPr>
          <w:rtl w:val="0"/>
        </w:rPr>
        <w:t xml:space="preserve">. </w:t>
      </w:r>
      <w:r w:rsidDel="00000000" w:rsidR="00000000" w:rsidRPr="00000000">
        <w:rPr>
          <w:rtl w:val="0"/>
        </w:rPr>
        <w:t xml:space="preserve">Royal Society Open Science, 10</w:t>
      </w:r>
      <w:r w:rsidDel="00000000" w:rsidR="00000000" w:rsidRPr="00000000">
        <w:rPr>
          <w:rtl w:val="0"/>
        </w:rPr>
        <w:t xml:space="preserve">(1), 220660. </w:t>
      </w:r>
      <w:hyperlink r:id="rId19">
        <w:r w:rsidDel="00000000" w:rsidR="00000000" w:rsidRPr="00000000">
          <w:rPr>
            <w:color w:val="1155cc"/>
            <w:u w:val="single"/>
            <w:rtl w:val="0"/>
          </w:rPr>
          <w:t xml:space="preserve">https://doi.org/10.1098/rsos.220660</w:t>
        </w:r>
      </w:hyperlink>
      <w:r w:rsidDel="00000000" w:rsidR="00000000" w:rsidRPr="00000000">
        <w:rPr>
          <w:rtl w:val="0"/>
        </w:rPr>
      </w:r>
    </w:p>
    <w:p w:rsidR="00000000" w:rsidDel="00000000" w:rsidP="00000000" w:rsidRDefault="00000000" w:rsidRPr="00000000" w14:paraId="0000009F">
      <w:pPr>
        <w:widowControl w:val="0"/>
        <w:spacing w:line="480" w:lineRule="auto"/>
        <w:ind w:left="720.0000000000001" w:hanging="720.0000000000001"/>
        <w:jc w:val="both"/>
        <w:rPr/>
      </w:pPr>
      <w:r w:rsidDel="00000000" w:rsidR="00000000" w:rsidRPr="00000000">
        <w:rPr>
          <w:rtl w:val="0"/>
        </w:rPr>
        <w:t xml:space="preserve">Ramírez, S., Miguez, G., Quezada-Scholz, V. E., Pardo, L., Alfaro, F., Varas, F. I., &amp; Laborda, M. A. (2022). Behavioral effects on the offspring of rodent mothers exposed to Tetrahydrocannabinol (THC): A meta-analysis. </w:t>
      </w:r>
      <w:r w:rsidDel="00000000" w:rsidR="00000000" w:rsidRPr="00000000">
        <w:rPr>
          <w:i w:val="1"/>
          <w:iCs w:val="1"/>
          <w:rtl w:val="0"/>
        </w:rPr>
        <w:t xml:space="preserve">Frontiers in Psychology</w:t>
      </w:r>
      <w:r w:rsidDel="00000000" w:rsidR="00000000" w:rsidRPr="00000000">
        <w:rPr>
          <w:rtl w:val="0"/>
        </w:rPr>
        <w:t xml:space="preserve">, </w:t>
      </w:r>
      <w:r w:rsidDel="00000000" w:rsidR="00000000" w:rsidRPr="00000000">
        <w:rPr>
          <w:i w:val="1"/>
          <w:iCs w:val="1"/>
          <w:rtl w:val="0"/>
        </w:rPr>
        <w:t xml:space="preserve">0</w:t>
      </w:r>
      <w:r w:rsidDel="00000000" w:rsidR="00000000" w:rsidRPr="00000000">
        <w:rPr>
          <w:rtl w:val="0"/>
        </w:rPr>
        <w:t xml:space="preserve">, 4571. https://doi.org/10.3389/FPSYG.2022.934600</w:t>
      </w:r>
    </w:p>
    <w:p w:rsidR="00000000" w:rsidDel="00000000" w:rsidP="00000000" w:rsidRDefault="00000000" w:rsidRPr="00000000" w14:paraId="000000A0">
      <w:pPr>
        <w:widowControl w:val="0"/>
        <w:spacing w:line="480" w:lineRule="auto"/>
        <w:ind w:left="720.0000000000001" w:hanging="720.0000000000001"/>
        <w:jc w:val="both"/>
        <w:rPr/>
      </w:pPr>
      <w:r w:rsidDel="00000000" w:rsidR="00000000" w:rsidRPr="00000000">
        <w:rPr>
          <w:rtl w:val="0"/>
        </w:rPr>
        <w:t xml:space="preserve">Rescorla, R. A. (1988). Pavlovian conditioning. It’s not what you think it is. </w:t>
      </w:r>
      <w:r w:rsidDel="00000000" w:rsidR="00000000" w:rsidRPr="00000000">
        <w:rPr>
          <w:i w:val="1"/>
          <w:iCs w:val="1"/>
          <w:rtl w:val="0"/>
        </w:rPr>
        <w:t xml:space="preserve">The American psychologist</w:t>
      </w:r>
      <w:r w:rsidDel="00000000" w:rsidR="00000000" w:rsidRPr="00000000">
        <w:rPr>
          <w:rtl w:val="0"/>
        </w:rPr>
        <w:t xml:space="preserve">, </w:t>
      </w:r>
      <w:r w:rsidDel="00000000" w:rsidR="00000000" w:rsidRPr="00000000">
        <w:rPr>
          <w:i w:val="1"/>
          <w:iCs w:val="1"/>
          <w:rtl w:val="0"/>
        </w:rPr>
        <w:t xml:space="preserve">43</w:t>
      </w:r>
      <w:r w:rsidDel="00000000" w:rsidR="00000000" w:rsidRPr="00000000">
        <w:rPr>
          <w:rtl w:val="0"/>
        </w:rPr>
        <w:t xml:space="preserve">(3), 151–160. https://doi.org/10.1037/0003-066X.43.3.151</w:t>
      </w:r>
    </w:p>
    <w:p w:rsidR="00000000" w:rsidDel="00000000" w:rsidP="00000000" w:rsidRDefault="00000000" w:rsidRPr="00000000" w14:paraId="000000A1">
      <w:pPr>
        <w:widowControl w:val="0"/>
        <w:spacing w:line="480" w:lineRule="auto"/>
        <w:ind w:left="720.0000000000001" w:hanging="720.0000000000001"/>
        <w:jc w:val="both"/>
        <w:rPr/>
      </w:pPr>
      <w:r w:rsidDel="00000000" w:rsidR="00000000" w:rsidRPr="00000000">
        <w:rPr>
          <w:rtl w:val="0"/>
        </w:rPr>
        <w:t xml:space="preserve">Rescorla, R. A., &amp; Solomon, R. L. (1967). Two-process learning theory: Relationships between Pavlovian conditioning and instrumental learning. </w:t>
      </w:r>
      <w:r w:rsidDel="00000000" w:rsidR="00000000" w:rsidRPr="00000000">
        <w:rPr>
          <w:i w:val="1"/>
          <w:iCs w:val="1"/>
          <w:rtl w:val="0"/>
        </w:rPr>
        <w:t xml:space="preserve">Psychological Review</w:t>
      </w:r>
      <w:r w:rsidDel="00000000" w:rsidR="00000000" w:rsidRPr="00000000">
        <w:rPr>
          <w:rtl w:val="0"/>
        </w:rPr>
        <w:t xml:space="preserve">, </w:t>
      </w:r>
      <w:r w:rsidDel="00000000" w:rsidR="00000000" w:rsidRPr="00000000">
        <w:rPr>
          <w:i w:val="1"/>
          <w:iCs w:val="1"/>
          <w:rtl w:val="0"/>
        </w:rPr>
        <w:t xml:space="preserve">74</w:t>
      </w:r>
      <w:r w:rsidDel="00000000" w:rsidR="00000000" w:rsidRPr="00000000">
        <w:rPr>
          <w:rtl w:val="0"/>
        </w:rPr>
        <w:t xml:space="preserve">(3), 151–182. </w:t>
      </w:r>
      <w:hyperlink r:id="rId20">
        <w:r w:rsidDel="00000000" w:rsidR="00000000" w:rsidRPr="00000000">
          <w:rPr>
            <w:color w:val="1155cc"/>
            <w:u w:val="single"/>
            <w:rtl w:val="0"/>
          </w:rPr>
          <w:t xml:space="preserve">https://doi.org/10.1037/h0024475</w:t>
        </w:r>
      </w:hyperlink>
      <w:r w:rsidDel="00000000" w:rsidR="00000000" w:rsidRPr="00000000">
        <w:rPr>
          <w:rtl w:val="0"/>
        </w:rPr>
      </w:r>
    </w:p>
    <w:p w:rsidR="00000000" w:rsidDel="00000000" w:rsidP="00000000" w:rsidRDefault="00000000" w:rsidRPr="00000000" w14:paraId="000000A2">
      <w:pPr>
        <w:widowControl w:val="0"/>
        <w:spacing w:line="480" w:lineRule="auto"/>
        <w:ind w:left="720.0000000000001" w:hanging="720.0000000000001"/>
        <w:jc w:val="both"/>
        <w:rPr/>
      </w:pPr>
      <w:r w:rsidDel="00000000" w:rsidR="00000000" w:rsidRPr="00000000">
        <w:rPr>
          <w:rtl w:val="0"/>
        </w:rPr>
        <w:t xml:space="preserve">Rodrigues, T., Vaz, A. R., Silva, C., Conceição, E., &amp; Machado, P. P. P. (2019). Eating Disorder‐15 (ED‐15): Factor structure, psychometric properties, and clinical validation. </w:t>
      </w:r>
      <w:r w:rsidDel="00000000" w:rsidR="00000000" w:rsidRPr="00000000">
        <w:rPr>
          <w:i w:val="1"/>
          <w:iCs w:val="1"/>
          <w:rtl w:val="0"/>
        </w:rPr>
        <w:t xml:space="preserve">European Eating Disorders Review, 27</w:t>
      </w:r>
      <w:r w:rsidDel="00000000" w:rsidR="00000000" w:rsidRPr="00000000">
        <w:rPr>
          <w:rtl w:val="0"/>
        </w:rPr>
        <w:t xml:space="preserve">(6), 682–691.</w:t>
      </w:r>
      <w:hyperlink r:id="rId21">
        <w:r w:rsidDel="00000000" w:rsidR="00000000" w:rsidRPr="00000000">
          <w:rPr>
            <w:rtl w:val="0"/>
          </w:rPr>
          <w:t xml:space="preserve"> </w:t>
        </w:r>
      </w:hyperlink>
      <w:hyperlink r:id="rId22">
        <w:r w:rsidDel="00000000" w:rsidR="00000000" w:rsidRPr="00000000">
          <w:rPr>
            <w:color w:val="1155cc"/>
            <w:u w:val="single"/>
            <w:rtl w:val="0"/>
          </w:rPr>
          <w:t xml:space="preserve">https://doi.org/10.1002/erv.2694</w:t>
        </w:r>
      </w:hyperlink>
      <w:r w:rsidDel="00000000" w:rsidR="00000000" w:rsidRPr="00000000">
        <w:rPr>
          <w:rtl w:val="0"/>
        </w:rPr>
      </w:r>
    </w:p>
    <w:p w:rsidR="00000000" w:rsidDel="00000000" w:rsidP="00000000" w:rsidRDefault="00000000" w:rsidRPr="00000000" w14:paraId="000000A3">
      <w:pPr>
        <w:widowControl w:val="0"/>
        <w:spacing w:line="480" w:lineRule="auto"/>
        <w:ind w:left="720.0000000000001" w:hanging="720.0000000000001"/>
        <w:jc w:val="both"/>
        <w:rPr/>
      </w:pPr>
      <w:r w:rsidDel="00000000" w:rsidR="00000000" w:rsidRPr="00000000">
        <w:rPr>
          <w:rtl w:val="0"/>
        </w:rPr>
        <w:t xml:space="preserve">Rosenthal, A., Chen, K., Beck, A., &amp; Romanczuk‑Seiferth, N. (2023). </w:t>
      </w:r>
      <w:r w:rsidDel="00000000" w:rsidR="00000000" w:rsidRPr="00000000">
        <w:rPr>
          <w:rtl w:val="0"/>
        </w:rPr>
        <w:t xml:space="preserve">Modifying Pavlovian‑to‑instrumental transfer by approach‑avoidance training in healthy subjects: A proof‑of‑concept study</w:t>
      </w:r>
      <w:r w:rsidDel="00000000" w:rsidR="00000000" w:rsidRPr="00000000">
        <w:rPr>
          <w:rtl w:val="0"/>
        </w:rPr>
        <w:t xml:space="preserve">. </w:t>
      </w:r>
      <w:r w:rsidDel="00000000" w:rsidR="00000000" w:rsidRPr="00000000">
        <w:rPr>
          <w:rtl w:val="0"/>
        </w:rPr>
        <w:t xml:space="preserve">Scientific Reports, 13</w:t>
      </w:r>
      <w:r w:rsidDel="00000000" w:rsidR="00000000" w:rsidRPr="00000000">
        <w:rPr>
          <w:rtl w:val="0"/>
        </w:rPr>
        <w:t xml:space="preserve">, 10074. </w:t>
      </w:r>
      <w:hyperlink r:id="rId23">
        <w:r w:rsidDel="00000000" w:rsidR="00000000" w:rsidRPr="00000000">
          <w:rPr>
            <w:color w:val="1155cc"/>
            <w:u w:val="single"/>
            <w:rtl w:val="0"/>
          </w:rPr>
          <w:t xml:space="preserve">https://www.nature.com/articles/s41598-023-37083-3</w:t>
        </w:r>
      </w:hyperlink>
      <w:r w:rsidDel="00000000" w:rsidR="00000000" w:rsidRPr="00000000">
        <w:rPr>
          <w:rtl w:val="0"/>
        </w:rPr>
      </w:r>
    </w:p>
    <w:p w:rsidR="00000000" w:rsidDel="00000000" w:rsidP="00000000" w:rsidRDefault="00000000" w:rsidRPr="00000000" w14:paraId="000000A4">
      <w:pPr>
        <w:widowControl w:val="0"/>
        <w:spacing w:line="480" w:lineRule="auto"/>
        <w:ind w:left="720.0000000000001" w:hanging="720.0000000000001"/>
        <w:jc w:val="both"/>
        <w:rPr/>
      </w:pPr>
      <w:r w:rsidDel="00000000" w:rsidR="00000000" w:rsidRPr="00000000">
        <w:rPr>
          <w:rtl w:val="0"/>
        </w:rPr>
        <w:t xml:space="preserve">Seabrooke, T., Hogarth, L., Edmunds, C. E. R., &amp; Mitchell, C. J. (2019). Goal-directed control in Pavlovian-instrumental transfer. </w:t>
      </w:r>
      <w:r w:rsidDel="00000000" w:rsidR="00000000" w:rsidRPr="00000000">
        <w:rPr>
          <w:i w:val="1"/>
          <w:iCs w:val="1"/>
          <w:rtl w:val="0"/>
        </w:rPr>
        <w:t xml:space="preserve">Journal of Experimental Psychology: Animal Learning and Cognition</w:t>
      </w:r>
      <w:r w:rsidDel="00000000" w:rsidR="00000000" w:rsidRPr="00000000">
        <w:rPr>
          <w:rtl w:val="0"/>
        </w:rPr>
        <w:t xml:space="preserve">, </w:t>
      </w:r>
      <w:r w:rsidDel="00000000" w:rsidR="00000000" w:rsidRPr="00000000">
        <w:rPr>
          <w:i w:val="1"/>
          <w:iCs w:val="1"/>
          <w:rtl w:val="0"/>
        </w:rPr>
        <w:t xml:space="preserve">45</w:t>
      </w:r>
      <w:r w:rsidDel="00000000" w:rsidR="00000000" w:rsidRPr="00000000">
        <w:rPr>
          <w:rtl w:val="0"/>
        </w:rPr>
        <w:t xml:space="preserve">(1), 95–101. https://doi.org/10.1037/XAN0000191</w:t>
      </w:r>
    </w:p>
    <w:p w:rsidR="00000000" w:rsidDel="00000000" w:rsidP="00000000" w:rsidRDefault="00000000" w:rsidRPr="00000000" w14:paraId="000000A5">
      <w:pPr>
        <w:widowControl w:val="0"/>
        <w:spacing w:line="480" w:lineRule="auto"/>
        <w:ind w:left="720.0000000000001" w:hanging="720.0000000000001"/>
        <w:jc w:val="both"/>
        <w:rPr/>
      </w:pPr>
      <w:r w:rsidDel="00000000" w:rsidR="00000000" w:rsidRPr="00000000">
        <w:rPr>
          <w:rtl w:val="0"/>
        </w:rPr>
        <w:t xml:space="preserve">Seabrooke, T., Le Pelley, M. E., Hogarth, L., &amp; Mitchell, C. J. (2017). Evidence of a goal-directed process in human pavlovian-instrumental transfer. </w:t>
      </w:r>
      <w:r w:rsidDel="00000000" w:rsidR="00000000" w:rsidRPr="00000000">
        <w:rPr>
          <w:i w:val="1"/>
          <w:iCs w:val="1"/>
          <w:rtl w:val="0"/>
        </w:rPr>
        <w:t xml:space="preserve">Journal of Experimental Psychology: Animal Learning and Cognition</w:t>
      </w:r>
      <w:r w:rsidDel="00000000" w:rsidR="00000000" w:rsidRPr="00000000">
        <w:rPr>
          <w:rtl w:val="0"/>
        </w:rPr>
        <w:t xml:space="preserve">, </w:t>
      </w:r>
      <w:r w:rsidDel="00000000" w:rsidR="00000000" w:rsidRPr="00000000">
        <w:rPr>
          <w:i w:val="1"/>
          <w:iCs w:val="1"/>
          <w:rtl w:val="0"/>
        </w:rPr>
        <w:t xml:space="preserve">43</w:t>
      </w:r>
      <w:r w:rsidDel="00000000" w:rsidR="00000000" w:rsidRPr="00000000">
        <w:rPr>
          <w:rtl w:val="0"/>
        </w:rPr>
        <w:t xml:space="preserve">(4), 377–387. </w:t>
      </w:r>
      <w:hyperlink r:id="rId24">
        <w:r w:rsidDel="00000000" w:rsidR="00000000" w:rsidRPr="00000000">
          <w:rPr>
            <w:color w:val="1155cc"/>
            <w:u w:val="single"/>
            <w:rtl w:val="0"/>
          </w:rPr>
          <w:t xml:space="preserve">https://doi.org/10.1037/XAN0000147</w:t>
        </w:r>
      </w:hyperlink>
      <w:r w:rsidDel="00000000" w:rsidR="00000000" w:rsidRPr="00000000">
        <w:rPr>
          <w:rtl w:val="0"/>
        </w:rPr>
      </w:r>
    </w:p>
    <w:p w:rsidR="00000000" w:rsidDel="00000000" w:rsidP="00000000" w:rsidRDefault="00000000" w:rsidRPr="00000000" w14:paraId="000000A6">
      <w:pPr>
        <w:widowControl w:val="0"/>
        <w:spacing w:line="480" w:lineRule="auto"/>
        <w:ind w:left="720.0000000000001" w:hanging="720.0000000000001"/>
        <w:jc w:val="both"/>
        <w:rPr/>
      </w:pPr>
      <w:r w:rsidDel="00000000" w:rsidR="00000000" w:rsidRPr="00000000">
        <w:rPr>
          <w:rtl w:val="0"/>
        </w:rPr>
        <w:t xml:space="preserve">Seabrooke, T., Le Pelley, M. E., Porter, A., &amp; Mitchell, C. J. (2022). </w:t>
      </w:r>
      <w:r w:rsidDel="00000000" w:rsidR="00000000" w:rsidRPr="00000000">
        <w:rPr>
          <w:i w:val="1"/>
          <w:iCs w:val="1"/>
          <w:rtl w:val="0"/>
        </w:rPr>
        <w:t xml:space="preserve">Extinguishing cue‑controlled reward choice: Effects of Pavlovian extinction on outcome‑selective Pavlovian‑instrumental transfer</w:t>
      </w:r>
      <w:r w:rsidDel="00000000" w:rsidR="00000000" w:rsidRPr="00000000">
        <w:rPr>
          <w:rtl w:val="0"/>
        </w:rPr>
        <w:t xml:space="preserve">. </w:t>
      </w:r>
      <w:r w:rsidDel="00000000" w:rsidR="00000000" w:rsidRPr="00000000">
        <w:rPr>
          <w:i w:val="1"/>
          <w:iCs w:val="1"/>
          <w:rtl w:val="0"/>
        </w:rPr>
        <w:t xml:space="preserve">Journal of Experimental Psychology: Animal Learning and Cognition, 48</w:t>
      </w:r>
      <w:r w:rsidDel="00000000" w:rsidR="00000000" w:rsidRPr="00000000">
        <w:rPr>
          <w:rtl w:val="0"/>
        </w:rPr>
        <w:t xml:space="preserve">(3), 280–292. </w:t>
      </w:r>
      <w:hyperlink r:id="rId25">
        <w:r w:rsidDel="00000000" w:rsidR="00000000" w:rsidRPr="00000000">
          <w:rPr>
            <w:color w:val="1155cc"/>
            <w:u w:val="single"/>
            <w:rtl w:val="0"/>
          </w:rPr>
          <w:t xml:space="preserve">https://doi.org/10.1037/xan0000315</w:t>
        </w:r>
      </w:hyperlink>
      <w:r w:rsidDel="00000000" w:rsidR="00000000" w:rsidRPr="00000000">
        <w:rPr>
          <w:rtl w:val="0"/>
        </w:rPr>
      </w:r>
    </w:p>
    <w:p w:rsidR="00000000" w:rsidDel="00000000" w:rsidP="00000000" w:rsidRDefault="00000000" w:rsidRPr="00000000" w14:paraId="000000A7">
      <w:pPr>
        <w:widowControl w:val="0"/>
        <w:spacing w:line="480" w:lineRule="auto"/>
        <w:ind w:left="720.0000000000001" w:hanging="720.0000000000001"/>
        <w:jc w:val="both"/>
        <w:rPr/>
      </w:pPr>
      <w:r w:rsidDel="00000000" w:rsidR="00000000" w:rsidRPr="00000000">
        <w:rPr>
          <w:rtl w:val="0"/>
        </w:rPr>
        <w:t xml:space="preserve">Shaham, Y., Adamson, L. K., Grocki, S., &amp; Corrigall, W. a. (1997). Reinstatement and spontaneous recovery of nicotine seeking in rats. </w:t>
      </w:r>
      <w:r w:rsidDel="00000000" w:rsidR="00000000" w:rsidRPr="00000000">
        <w:rPr>
          <w:i w:val="1"/>
          <w:iCs w:val="1"/>
          <w:rtl w:val="0"/>
        </w:rPr>
        <w:t xml:space="preserve">Psychopharmacology</w:t>
      </w:r>
      <w:r w:rsidDel="00000000" w:rsidR="00000000" w:rsidRPr="00000000">
        <w:rPr>
          <w:rtl w:val="0"/>
        </w:rPr>
        <w:t xml:space="preserve">, </w:t>
      </w:r>
      <w:r w:rsidDel="00000000" w:rsidR="00000000" w:rsidRPr="00000000">
        <w:rPr>
          <w:i w:val="1"/>
          <w:iCs w:val="1"/>
          <w:rtl w:val="0"/>
        </w:rPr>
        <w:t xml:space="preserve">130</w:t>
      </w:r>
      <w:r w:rsidDel="00000000" w:rsidR="00000000" w:rsidRPr="00000000">
        <w:rPr>
          <w:rtl w:val="0"/>
        </w:rPr>
        <w:t xml:space="preserve">(4), 396–403. https://doi.org/10.1007/s002130050256</w:t>
      </w:r>
    </w:p>
    <w:p w:rsidR="00000000" w:rsidDel="00000000" w:rsidP="00000000" w:rsidRDefault="00000000" w:rsidRPr="00000000" w14:paraId="000000A8">
      <w:pPr>
        <w:widowControl w:val="0"/>
        <w:spacing w:line="480" w:lineRule="auto"/>
        <w:ind w:left="720.0000000000001" w:hanging="720.0000000000001"/>
        <w:jc w:val="both"/>
        <w:rPr/>
      </w:pPr>
      <w:r w:rsidDel="00000000" w:rsidR="00000000" w:rsidRPr="00000000">
        <w:rPr>
          <w:rtl w:val="0"/>
        </w:rPr>
        <w:t xml:space="preserve">Siegel, S. (1975). Evidence from rats that morphine tolerance is a learned response. </w:t>
      </w:r>
      <w:r w:rsidDel="00000000" w:rsidR="00000000" w:rsidRPr="00000000">
        <w:rPr>
          <w:i w:val="1"/>
          <w:iCs w:val="1"/>
          <w:rtl w:val="0"/>
        </w:rPr>
        <w:t xml:space="preserve">Journal of comparative and physiological psychology</w:t>
      </w:r>
      <w:r w:rsidDel="00000000" w:rsidR="00000000" w:rsidRPr="00000000">
        <w:rPr>
          <w:rtl w:val="0"/>
        </w:rPr>
        <w:t xml:space="preserve">, </w:t>
      </w:r>
      <w:r w:rsidDel="00000000" w:rsidR="00000000" w:rsidRPr="00000000">
        <w:rPr>
          <w:i w:val="1"/>
          <w:iCs w:val="1"/>
          <w:rtl w:val="0"/>
        </w:rPr>
        <w:t xml:space="preserve">89</w:t>
      </w:r>
      <w:r w:rsidDel="00000000" w:rsidR="00000000" w:rsidRPr="00000000">
        <w:rPr>
          <w:rtl w:val="0"/>
        </w:rPr>
        <w:t xml:space="preserve">(5), 498–506. https://doi.org/10.1037/h0077058</w:t>
      </w:r>
    </w:p>
    <w:p w:rsidR="00000000" w:rsidDel="00000000" w:rsidP="00000000" w:rsidRDefault="00000000" w:rsidRPr="00000000" w14:paraId="000000A9">
      <w:pPr>
        <w:widowControl w:val="0"/>
        <w:spacing w:line="480" w:lineRule="auto"/>
        <w:ind w:left="720.0000000000001" w:hanging="720.0000000000001"/>
        <w:jc w:val="both"/>
        <w:rPr/>
      </w:pPr>
      <w:r w:rsidDel="00000000" w:rsidR="00000000" w:rsidRPr="00000000">
        <w:rPr>
          <w:rtl w:val="0"/>
        </w:rPr>
        <w:t xml:space="preserve">Siegel, S., &amp; Larson, S. J. (1996). Disruption of tolerance to the ataxic effect of ethanol by an extraneous stimulus. </w:t>
      </w:r>
      <w:r w:rsidDel="00000000" w:rsidR="00000000" w:rsidRPr="00000000">
        <w:rPr>
          <w:i w:val="1"/>
          <w:iCs w:val="1"/>
          <w:rtl w:val="0"/>
        </w:rPr>
        <w:t xml:space="preserve">Pharmacology Biochemistry and Behavior</w:t>
      </w:r>
      <w:r w:rsidDel="00000000" w:rsidR="00000000" w:rsidRPr="00000000">
        <w:rPr>
          <w:rtl w:val="0"/>
        </w:rPr>
        <w:t xml:space="preserve">, </w:t>
      </w:r>
      <w:r w:rsidDel="00000000" w:rsidR="00000000" w:rsidRPr="00000000">
        <w:rPr>
          <w:i w:val="1"/>
          <w:iCs w:val="1"/>
          <w:rtl w:val="0"/>
        </w:rPr>
        <w:t xml:space="preserve">55</w:t>
      </w:r>
      <w:r w:rsidDel="00000000" w:rsidR="00000000" w:rsidRPr="00000000">
        <w:rPr>
          <w:rtl w:val="0"/>
        </w:rPr>
        <w:t xml:space="preserve">(1), 125–130. https://doi.org/10.1016/0091-3057(96)00074-3</w:t>
      </w:r>
    </w:p>
    <w:p w:rsidR="00000000" w:rsidDel="00000000" w:rsidP="00000000" w:rsidRDefault="00000000" w:rsidRPr="00000000" w14:paraId="000000AA">
      <w:pPr>
        <w:widowControl w:val="0"/>
        <w:spacing w:line="480" w:lineRule="auto"/>
        <w:ind w:left="720.0000000000001" w:hanging="720.0000000000001"/>
        <w:jc w:val="both"/>
        <w:rPr/>
      </w:pPr>
      <w:r w:rsidDel="00000000" w:rsidR="00000000" w:rsidRPr="00000000">
        <w:rPr>
          <w:rtl w:val="0"/>
        </w:rPr>
        <w:t xml:space="preserve">Skinner, B. F. (1928). </w:t>
      </w:r>
      <w:r w:rsidDel="00000000" w:rsidR="00000000" w:rsidRPr="00000000">
        <w:rPr>
          <w:i w:val="1"/>
          <w:iCs w:val="1"/>
          <w:rtl w:val="0"/>
        </w:rPr>
        <w:t xml:space="preserve">The behavior of organisms: an experimental analysis</w:t>
      </w:r>
      <w:r w:rsidDel="00000000" w:rsidR="00000000" w:rsidRPr="00000000">
        <w:rPr>
          <w:rtl w:val="0"/>
        </w:rPr>
        <w:t xml:space="preserve">. Appleton-Century.</w:t>
      </w:r>
    </w:p>
    <w:p w:rsidR="00000000" w:rsidDel="00000000" w:rsidP="00000000" w:rsidRDefault="00000000" w:rsidRPr="00000000" w14:paraId="000000AB">
      <w:pPr>
        <w:widowControl w:val="0"/>
        <w:spacing w:line="480" w:lineRule="auto"/>
        <w:ind w:left="720.0000000000001" w:hanging="720.0000000000001"/>
        <w:jc w:val="both"/>
        <w:rPr/>
      </w:pPr>
      <w:r w:rsidDel="00000000" w:rsidR="00000000" w:rsidRPr="00000000">
        <w:rPr>
          <w:rtl w:val="0"/>
        </w:rPr>
        <w:t xml:space="preserve">Tinley, E. M., Durlach, P. J., &amp; Yeomans, M. R. (2004). How habitual caffeine consumption and dose influence flavour preference conditioning with caffeine. </w:t>
      </w:r>
      <w:r w:rsidDel="00000000" w:rsidR="00000000" w:rsidRPr="00000000">
        <w:rPr>
          <w:i w:val="1"/>
          <w:iCs w:val="1"/>
          <w:rtl w:val="0"/>
        </w:rPr>
        <w:t xml:space="preserve">Physiology &amp; Behavior</w:t>
      </w:r>
      <w:r w:rsidDel="00000000" w:rsidR="00000000" w:rsidRPr="00000000">
        <w:rPr>
          <w:rtl w:val="0"/>
        </w:rPr>
        <w:t xml:space="preserve">, </w:t>
      </w:r>
      <w:r w:rsidDel="00000000" w:rsidR="00000000" w:rsidRPr="00000000">
        <w:rPr>
          <w:i w:val="1"/>
          <w:iCs w:val="1"/>
          <w:rtl w:val="0"/>
        </w:rPr>
        <w:t xml:space="preserve">82</w:t>
      </w:r>
      <w:r w:rsidDel="00000000" w:rsidR="00000000" w:rsidRPr="00000000">
        <w:rPr>
          <w:rtl w:val="0"/>
        </w:rPr>
        <w:t xml:space="preserve">(2–3), 317–324. https://doi.org/10.1016/J.PHYSBEH.2004.03.018</w:t>
      </w:r>
    </w:p>
    <w:p w:rsidR="00000000" w:rsidDel="00000000" w:rsidP="00000000" w:rsidRDefault="00000000" w:rsidRPr="00000000" w14:paraId="000000AC">
      <w:pPr>
        <w:widowControl w:val="0"/>
        <w:spacing w:line="480" w:lineRule="auto"/>
        <w:ind w:left="720.0000000000001" w:hanging="720.0000000000001"/>
        <w:jc w:val="both"/>
        <w:rPr/>
      </w:pPr>
      <w:r w:rsidDel="00000000" w:rsidR="00000000" w:rsidRPr="00000000">
        <w:rPr>
          <w:rtl w:val="0"/>
        </w:rPr>
        <w:t xml:space="preserve">Troisi, J. R. (2006). </w:t>
      </w:r>
      <w:r w:rsidDel="00000000" w:rsidR="00000000" w:rsidRPr="00000000">
        <w:rPr>
          <w:i w:val="1"/>
          <w:iCs w:val="1"/>
          <w:rtl w:val="0"/>
        </w:rPr>
        <w:t xml:space="preserve">Pavlovian-instrumental transfer of the discriminative stimulus effects of nicotine and ethanol in rats joseph r. troisi</w:t>
      </w:r>
      <w:r w:rsidDel="00000000" w:rsidR="00000000" w:rsidRPr="00000000">
        <w:rPr>
          <w:rtl w:val="0"/>
        </w:rPr>
        <w:t xml:space="preserve">. 499–512.</w:t>
      </w:r>
      <w:r w:rsidDel="00000000" w:rsidR="00000000" w:rsidRPr="00000000">
        <w:rPr>
          <w:rtl w:val="0"/>
        </w:rPr>
      </w:r>
    </w:p>
    <w:p w:rsidR="00000000" w:rsidDel="00000000" w:rsidP="00000000" w:rsidRDefault="00000000" w:rsidRPr="00000000" w14:paraId="000000AD">
      <w:pPr>
        <w:widowControl w:val="0"/>
        <w:spacing w:line="480" w:lineRule="auto"/>
        <w:ind w:left="720.0000000000001" w:hanging="720.0000000000001"/>
        <w:jc w:val="both"/>
        <w:rPr/>
      </w:pPr>
      <w:r w:rsidDel="00000000" w:rsidR="00000000" w:rsidRPr="00000000">
        <w:rPr>
          <w:rtl w:val="0"/>
        </w:rPr>
        <w:t xml:space="preserve">van Timmeren, T., Quail, S. L., Balleine, B. W., Geurts, D. E. M., Goudriaan, A. E., &amp; van Holst, R. J. (2020). Intact corticostriatal control of goal-directed action in Alcohol Use Disorder: a Pavlovian-to-instrumental transfer and outcome-devaluation study. </w:t>
      </w:r>
      <w:r w:rsidDel="00000000" w:rsidR="00000000" w:rsidRPr="00000000">
        <w:rPr>
          <w:i w:val="1"/>
          <w:iCs w:val="1"/>
          <w:rtl w:val="0"/>
        </w:rPr>
        <w:t xml:space="preserve">Scientific Reports 2020 10:1</w:t>
      </w:r>
      <w:r w:rsidDel="00000000" w:rsidR="00000000" w:rsidRPr="00000000">
        <w:rPr>
          <w:rtl w:val="0"/>
        </w:rPr>
        <w:t xml:space="preserve">, </w:t>
      </w:r>
      <w:r w:rsidDel="00000000" w:rsidR="00000000" w:rsidRPr="00000000">
        <w:rPr>
          <w:i w:val="1"/>
          <w:iCs w:val="1"/>
          <w:rtl w:val="0"/>
        </w:rPr>
        <w:t xml:space="preserve">10</w:t>
      </w:r>
      <w:r w:rsidDel="00000000" w:rsidR="00000000" w:rsidRPr="00000000">
        <w:rPr>
          <w:rtl w:val="0"/>
        </w:rPr>
        <w:t xml:space="preserve">(1), 1–12. </w:t>
      </w:r>
      <w:hyperlink r:id="rId26">
        <w:r w:rsidDel="00000000" w:rsidR="00000000" w:rsidRPr="00000000">
          <w:rPr>
            <w:color w:val="1155cc"/>
            <w:u w:val="single"/>
            <w:rtl w:val="0"/>
          </w:rPr>
          <w:t xml:space="preserve">https://doi.org/10.1038/s41598-020-61892-5</w:t>
        </w:r>
      </w:hyperlink>
      <w:r w:rsidDel="00000000" w:rsidR="00000000" w:rsidRPr="00000000">
        <w:rPr>
          <w:rtl w:val="0"/>
        </w:rPr>
      </w:r>
    </w:p>
    <w:p w:rsidR="00000000" w:rsidDel="00000000" w:rsidP="00000000" w:rsidRDefault="00000000" w:rsidRPr="00000000" w14:paraId="000000AE">
      <w:pPr>
        <w:widowControl w:val="0"/>
        <w:spacing w:line="480" w:lineRule="auto"/>
        <w:ind w:left="720.0000000000001" w:hanging="720.0000000000001"/>
        <w:jc w:val="both"/>
        <w:rPr/>
      </w:pPr>
      <w:r w:rsidDel="00000000" w:rsidR="00000000" w:rsidRPr="00000000">
        <w:rPr>
          <w:rtl w:val="0"/>
        </w:rPr>
      </w:r>
    </w:p>
    <w:p w:rsidR="00000000" w:rsidDel="00000000" w:rsidP="00000000" w:rsidRDefault="00000000" w:rsidRPr="00000000" w14:paraId="000000AF">
      <w:pPr>
        <w:widowControl w:val="0"/>
        <w:spacing w:line="480" w:lineRule="auto"/>
        <w:ind w:left="720.0000000000001" w:hanging="720.0000000000001"/>
        <w:jc w:val="both"/>
        <w:rPr/>
      </w:pPr>
      <w:r w:rsidDel="00000000" w:rsidR="00000000" w:rsidRPr="00000000">
        <w:rPr>
          <w:rtl w:val="0"/>
        </w:rPr>
      </w:r>
    </w:p>
    <w:p w:rsidR="00000000" w:rsidDel="00000000" w:rsidP="00000000" w:rsidRDefault="00000000" w:rsidRPr="00000000" w14:paraId="000000B0">
      <w:pPr>
        <w:widowControl w:val="0"/>
        <w:spacing w:line="480" w:lineRule="auto"/>
        <w:ind w:left="720.0000000000001" w:hanging="720.0000000000001"/>
        <w:jc w:val="both"/>
        <w:rPr/>
      </w:pPr>
      <w:r w:rsidDel="00000000" w:rsidR="00000000" w:rsidRPr="00000000">
        <w:rPr>
          <w:rtl w:val="0"/>
        </w:rPr>
      </w:r>
    </w:p>
    <w:p w:rsidR="00000000" w:rsidDel="00000000" w:rsidP="00000000" w:rsidRDefault="00000000" w:rsidRPr="00000000" w14:paraId="000000B1">
      <w:pPr>
        <w:widowControl w:val="0"/>
        <w:spacing w:line="480" w:lineRule="auto"/>
        <w:ind w:left="720.0000000000001" w:hanging="720.0000000000001"/>
        <w:jc w:val="both"/>
        <w:rPr/>
      </w:pPr>
      <w:r w:rsidDel="00000000" w:rsidR="00000000" w:rsidRPr="00000000">
        <w:rPr>
          <w:rtl w:val="0"/>
        </w:rPr>
        <w:t xml:space="preserve">Vogel, S., Kollei, I., Duka, T., Snagowski, J., Brand, M., Müller, A., &amp; Loeber, S. (2020). </w:t>
      </w:r>
      <w:r w:rsidDel="00000000" w:rsidR="00000000" w:rsidRPr="00000000">
        <w:rPr>
          <w:rtl w:val="0"/>
        </w:rPr>
        <w:t xml:space="preserve">Pavlovian‑to‑instrumental transfer in Anorexia Nervosa: A pilot study on conditioned learning and instrumental responding to low‑ and high‑calorie food stimuli</w:t>
      </w:r>
      <w:r w:rsidDel="00000000" w:rsidR="00000000" w:rsidRPr="00000000">
        <w:rPr>
          <w:rtl w:val="0"/>
        </w:rPr>
        <w:t xml:space="preserve">. </w:t>
      </w:r>
      <w:r w:rsidDel="00000000" w:rsidR="00000000" w:rsidRPr="00000000">
        <w:rPr>
          <w:rtl w:val="0"/>
        </w:rPr>
        <w:t xml:space="preserve">European Journal of Neuroscience, 52</w:t>
      </w:r>
      <w:r w:rsidDel="00000000" w:rsidR="00000000" w:rsidRPr="00000000">
        <w:rPr>
          <w:rtl w:val="0"/>
        </w:rPr>
        <w:t xml:space="preserve">(10), 3911–3925. </w:t>
      </w:r>
      <w:hyperlink r:id="rId27">
        <w:r w:rsidDel="00000000" w:rsidR="00000000" w:rsidRPr="00000000">
          <w:rPr>
            <w:rtl w:val="0"/>
          </w:rPr>
          <w:t xml:space="preserve">https://doi.org/10.1111/ejn.14592</w:t>
        </w:r>
      </w:hyperlink>
      <w:r w:rsidDel="00000000" w:rsidR="00000000" w:rsidRPr="00000000">
        <w:rPr>
          <w:rtl w:val="0"/>
        </w:rPr>
      </w:r>
    </w:p>
    <w:p w:rsidR="00000000" w:rsidDel="00000000" w:rsidP="00000000" w:rsidRDefault="00000000" w:rsidRPr="00000000" w14:paraId="000000B2">
      <w:pPr>
        <w:widowControl w:val="0"/>
        <w:spacing w:line="480" w:lineRule="auto"/>
        <w:ind w:left="720.0000000000001" w:hanging="720.0000000000001"/>
        <w:jc w:val="both"/>
        <w:rPr/>
      </w:pPr>
      <w:r w:rsidDel="00000000" w:rsidR="00000000" w:rsidRPr="00000000">
        <w:rPr>
          <w:rtl w:val="0"/>
        </w:rPr>
      </w:r>
    </w:p>
    <w:p w:rsidR="00000000" w:rsidDel="00000000" w:rsidP="00000000" w:rsidRDefault="00000000" w:rsidRPr="00000000" w14:paraId="000000B3">
      <w:pPr>
        <w:widowControl w:val="0"/>
        <w:spacing w:line="480" w:lineRule="auto"/>
        <w:ind w:left="720.0000000000001" w:hanging="720.0000000000001"/>
        <w:jc w:val="both"/>
        <w:rPr/>
      </w:pPr>
      <w:r w:rsidDel="00000000" w:rsidR="00000000" w:rsidRPr="00000000">
        <w:rPr>
          <w:rtl w:val="0"/>
        </w:rPr>
        <w:t xml:space="preserve">Watson, P. (2024). Defining and Measuring Habits Across Different Fields of Research. </w:t>
      </w:r>
      <w:r w:rsidDel="00000000" w:rsidR="00000000" w:rsidRPr="00000000">
        <w:rPr>
          <w:i w:val="1"/>
          <w:iCs w:val="1"/>
          <w:rtl w:val="0"/>
        </w:rPr>
        <w:t xml:space="preserve">Habits</w:t>
      </w:r>
      <w:r w:rsidDel="00000000" w:rsidR="00000000" w:rsidRPr="00000000">
        <w:rPr>
          <w:rtl w:val="0"/>
        </w:rPr>
        <w:t xml:space="preserve">, 3–22. </w:t>
      </w:r>
      <w:hyperlink r:id="rId28">
        <w:r w:rsidDel="00000000" w:rsidR="00000000" w:rsidRPr="00000000">
          <w:rPr>
            <w:color w:val="1155cc"/>
            <w:u w:val="single"/>
            <w:rtl w:val="0"/>
          </w:rPr>
          <w:t xml:space="preserve">https://doi.org/10.1007/978-3-031-55889-4_1</w:t>
        </w:r>
      </w:hyperlink>
      <w:r w:rsidDel="00000000" w:rsidR="00000000" w:rsidRPr="00000000">
        <w:rPr>
          <w:rtl w:val="0"/>
        </w:rPr>
      </w:r>
    </w:p>
    <w:p w:rsidR="00000000" w:rsidDel="00000000" w:rsidP="00000000" w:rsidRDefault="00000000" w:rsidRPr="00000000" w14:paraId="000000B4">
      <w:pPr>
        <w:widowControl w:val="0"/>
        <w:spacing w:line="240" w:lineRule="auto"/>
        <w:ind w:left="567"/>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5">
      <w:pPr>
        <w:spacing w:line="276" w:lineRule="auto"/>
        <w:jc w:val="center"/>
        <w:rPr>
          <w:b w:val="1"/>
          <w:bCs w:val="1"/>
          <w:sz w:val="20"/>
          <w:szCs w:val="20"/>
        </w:rPr>
      </w:pPr>
      <w:r w:rsidDel="00000000" w:rsidR="00000000" w:rsidRPr="00000000">
        <w:rPr>
          <w:rtl w:val="0"/>
        </w:rPr>
      </w:r>
    </w:p>
    <w:p w:rsidR="00000000" w:rsidDel="00000000" w:rsidP="00000000" w:rsidRDefault="00000000" w:rsidRPr="00000000" w14:paraId="000000B6">
      <w:pPr>
        <w:spacing w:line="276" w:lineRule="auto"/>
        <w:ind w:left="0" w:firstLine="0"/>
        <w:rPr>
          <w:b w:val="1"/>
          <w:bCs w:val="1"/>
          <w:sz w:val="20"/>
          <w:szCs w:val="20"/>
        </w:rPr>
      </w:pPr>
      <w:r w:rsidDel="00000000" w:rsidR="00000000" w:rsidRPr="00000000">
        <w:rPr>
          <w:rtl w:val="0"/>
        </w:rPr>
      </w:r>
    </w:p>
    <w:p w:rsidR="00000000" w:rsidDel="00000000" w:rsidP="00000000" w:rsidRDefault="00000000" w:rsidRPr="00000000" w14:paraId="000000B7">
      <w:pPr>
        <w:spacing w:line="276" w:lineRule="auto"/>
        <w:rPr>
          <w:b w:val="1"/>
          <w:bCs w:val="1"/>
          <w:sz w:val="20"/>
          <w:szCs w:val="20"/>
        </w:rPr>
      </w:pPr>
      <w:r w:rsidDel="00000000" w:rsidR="00000000" w:rsidRPr="00000000">
        <w:rPr>
          <w:rtl w:val="0"/>
        </w:rPr>
      </w:r>
    </w:p>
    <w:sectPr>
      <w:type w:val="nextPage"/>
      <w:pgSz w:h="15840" w:w="12240" w:orient="portrait"/>
      <w:pgMar w:bottom="1417.3228346456694" w:top="1417.3228346456694" w:left="1417.3228346456694" w:right="1417.3228346456694"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Yeshenya Reyes" w:id="0" w:date="2025-09-26T20:54:39Z">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 está en el siguiente PPT que muestra cómo debería verse: https://docs.google.com/presentation/d/1v5ACb3mj-h1i53Lb7JO8OxneyR_HIBqOeGxQ6J03AU4/edit?slide=id.p#slide=id.p @edgar.santana@alumnos.uaysen.cl</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_Asignado a edgar.santana@alumnos.uaysen.cl_</w:t>
      </w:r>
    </w:p>
  </w:comment>
  <w:comment w:author="Rodrigo Beltrán" w:id="4" w:date="2025-09-30T18:58:15Z">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@yeshenya.reyes@titulados.uaysen.cl a esta escala me refiero. Hay una pregunta por cada fase si no me equivoco. Entonces necesitamos como un pantallazo para que Edgar se haga una idea.</w:t>
      </w:r>
    </w:p>
  </w:comment>
  <w:comment w:author="Rodrigo Beltrán" w:id="5" w:date="2025-10-01T01:34:17Z">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Ya lo hice igual https://docs.google.com/presentation/d/1MJPArDo3DfGIjUDipnWHIjVrNc9SGvTESWHgm7MltLA/edit?slide=id.g387b946e44e_0_12#slide=id.g387b946e44e_0_12</w:t>
      </w:r>
    </w:p>
  </w:comment>
  <w:comment w:author="Yeshenya Reyes" w:id="1" w:date="2025-09-26T22:27:02Z">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@yeshenya.reyes@titulados.uaysen.cl Considerar que en total son 31 preguntas, algunas de alternativa y otras que requieren de redacción o mayor concentración, en total para redondear sería bueno considerar al menos una hora de aplicación sólo para los cuestionarios incluido la lectura de instructivos y no incluido el proceso de recepción y registro de los participantes. Una hora y media aproximadamente es un buen cálculo en total, sumar considerar unos 15 minutos de espera por retrasos.</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_Asignado a yeshenya.reyes@titulados.uaysen.cl_</w:t>
      </w:r>
    </w:p>
  </w:comment>
  <w:comment w:author="Yeshenya Reyes" w:id="2" w:date="2025-09-26T22:04:10Z">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Observación para el desarrollo de cálculo de tiempos en piloto: Si no movemos nada esto debería tener una duración aproximada de máximo 10 minutos aproximadamente, por lo que sería bueno considerar unos 20 minutos para el proceso en total por instrucciones @yeshenya.reyes@titulados.uaysen.cl</w:t>
      </w:r>
    </w:p>
  </w:comment>
  <w:comment w:author="Yeshenya Reyes" w:id="3" w:date="2025-09-26T22:30:49Z">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Resumen  tiempo</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Fase 1 (Pavloviana): 8–10 min</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Fase 2 (Instrumental): 5–15 min (promedio; muy variable por desempeño)</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PIT: 10–26 min</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Devaluación (saciedad + ratings): ~10 min</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Re-test PIT: 10–26 min</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Transiciones/pausas/instrucciones: 10–15 min</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Tiempo total esperado</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Mínimo: ~43 min</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Máximo: ~87 min</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Recomendación práctica</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invitar a participantes, comunica:</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estudio dura aproximadamente 1 hora, pudiendo extenderse hasta 1 hora y 30 minutos.”</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 es lo más honesto y manejable, dejando margen por la variabilidad de los ITIs y el desempeño en la fase instrumental.</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spacing w:after="240" w:befor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spacing w:line="48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firstLine="0"/>
      <w:jc w:val="center"/>
    </w:pPr>
    <w:rPr>
      <w:b w:val="1"/>
      <w:bCs w:val="1"/>
    </w:rPr>
  </w:style>
  <w:style w:type="paragraph" w:styleId="Heading2">
    <w:name w:val="heading 2"/>
    <w:basedOn w:val="Normal"/>
    <w:next w:val="Normal"/>
    <w:pPr>
      <w:keepNext w:val="1"/>
      <w:keepLines w:val="1"/>
      <w:ind w:firstLine="0"/>
    </w:pPr>
    <w:rPr>
      <w:b w:val="1"/>
      <w:bCs w:val="1"/>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037/h0024475" TargetMode="External"/><Relationship Id="rId22" Type="http://schemas.openxmlformats.org/officeDocument/2006/relationships/hyperlink" Target="https://doi.org/10.1002/erv.2694" TargetMode="External"/><Relationship Id="rId21" Type="http://schemas.openxmlformats.org/officeDocument/2006/relationships/hyperlink" Target="https://doi.org/10.1002/erv.2694" TargetMode="External"/><Relationship Id="rId24" Type="http://schemas.openxmlformats.org/officeDocument/2006/relationships/hyperlink" Target="https://doi.org/10.1037/XAN0000147" TargetMode="External"/><Relationship Id="rId23" Type="http://schemas.openxmlformats.org/officeDocument/2006/relationships/hyperlink" Target="https://www.nature.com/articles/s41598-023-37083-3"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1.xml"/><Relationship Id="rId26" Type="http://schemas.openxmlformats.org/officeDocument/2006/relationships/hyperlink" Target="https://doi.org/10.1038/s41598-020-61892-5" TargetMode="External"/><Relationship Id="rId25" Type="http://schemas.openxmlformats.org/officeDocument/2006/relationships/hyperlink" Target="https://doi.org/10.1037/xan0000315" TargetMode="External"/><Relationship Id="rId28" Type="http://schemas.openxmlformats.org/officeDocument/2006/relationships/hyperlink" Target="https://doi.org/10.1007/978-3-031-55889-4_1" TargetMode="External"/><Relationship Id="rId27" Type="http://schemas.openxmlformats.org/officeDocument/2006/relationships/hyperlink" Target="https://doi.org/10.1111/ejn.14592"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pavlovia.org" TargetMode="External"/><Relationship Id="rId8" Type="http://schemas.openxmlformats.org/officeDocument/2006/relationships/hyperlink" Target="https://docs.google.com/presentation/d/1pndOGgkS8IDLrQAFdB4hHl5N8azQDTAJoko0urelyNk/edit?slide=id.p#slide=id.p" TargetMode="External"/><Relationship Id="rId11" Type="http://schemas.openxmlformats.org/officeDocument/2006/relationships/hyperlink" Target="https://doi.org/10.1159/000526774" TargetMode="External"/><Relationship Id="rId10" Type="http://schemas.openxmlformats.org/officeDocument/2006/relationships/hyperlink" Target="https://doi.org/10.4067/S0034-98872009001100008" TargetMode="External"/><Relationship Id="rId13" Type="http://schemas.openxmlformats.org/officeDocument/2006/relationships/hyperlink" Target="https://doi.org/10.1111/j.1460-9568.2007.05934.x" TargetMode="External"/><Relationship Id="rId12" Type="http://schemas.openxmlformats.org/officeDocument/2006/relationships/hyperlink" Target="https://doi.org/10.1016/j.neubiorev.2024.105829" TargetMode="External"/><Relationship Id="rId15" Type="http://schemas.openxmlformats.org/officeDocument/2006/relationships/hyperlink" Target="https://doi.org/10.3389/fnbeh.2023.1199887" TargetMode="External"/><Relationship Id="rId14" Type="http://schemas.openxmlformats.org/officeDocument/2006/relationships/hyperlink" Target="https://doi.org/10.1159/000525579" TargetMode="External"/><Relationship Id="rId17" Type="http://schemas.openxmlformats.org/officeDocument/2006/relationships/hyperlink" Target="https://doi.org/10.3758/s13420-025-00676-1" TargetMode="External"/><Relationship Id="rId16" Type="http://schemas.openxmlformats.org/officeDocument/2006/relationships/hyperlink" Target="https://doi.org/10.1037/pne0000181" TargetMode="External"/><Relationship Id="rId19" Type="http://schemas.openxmlformats.org/officeDocument/2006/relationships/hyperlink" Target="https://doi.org/10.1098/rsos.220660" TargetMode="External"/><Relationship Id="rId18" Type="http://schemas.openxmlformats.org/officeDocument/2006/relationships/hyperlink" Target="https://doi.org/10.1037/0735-7044.115.2.39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