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3C6A3" w14:textId="4A45C640" w:rsidR="007A2839" w:rsidRPr="007A2839" w:rsidRDefault="007A2839" w:rsidP="007A2839">
      <w:pPr>
        <w:widowControl/>
        <w:outlineLvl w:val="0"/>
        <w:rPr>
          <w:rFonts w:ascii="Arial" w:eastAsia="等线" w:hAnsi="Arial" w:cs="Arial" w:hint="eastAsia"/>
          <w:b/>
          <w:bCs/>
          <w:color w:val="000000"/>
          <w:kern w:val="36"/>
          <w:sz w:val="24"/>
          <w:szCs w:val="24"/>
          <w:lang w:eastAsia="it-IT"/>
        </w:rPr>
      </w:pPr>
      <w:r w:rsidRPr="007A2839">
        <w:rPr>
          <w:rFonts w:ascii="Arial" w:eastAsia="等线" w:hAnsi="Arial" w:cs="Arial" w:hint="eastAsia"/>
          <w:b/>
          <w:bCs/>
          <w:color w:val="000000"/>
          <w:kern w:val="36"/>
          <w:sz w:val="24"/>
          <w:szCs w:val="24"/>
          <w:lang w:eastAsia="it-IT"/>
        </w:rPr>
        <w:t>1</w:t>
      </w:r>
      <w:r w:rsidRPr="007A2839">
        <w:rPr>
          <w:rFonts w:ascii="Arial" w:eastAsia="等线" w:hAnsi="Arial" w:cs="Arial"/>
          <w:b/>
          <w:bCs/>
          <w:color w:val="000000"/>
          <w:kern w:val="36"/>
          <w:sz w:val="24"/>
          <w:szCs w:val="24"/>
          <w:lang w:eastAsia="it-IT"/>
        </w:rPr>
        <w:t>. Operational definitions</w:t>
      </w:r>
    </w:p>
    <w:p w14:paraId="26A75814" w14:textId="1D85F5CF" w:rsidR="001A4A5D" w:rsidRPr="00F340E1" w:rsidRDefault="001A4A5D" w:rsidP="00F340E1">
      <w:pPr>
        <w:widowControl/>
        <w:rPr>
          <w:rFonts w:ascii="Arial" w:eastAsia="Calibri" w:hAnsi="Arial" w:cs="Arial"/>
          <w:color w:val="000000"/>
          <w:kern w:val="0"/>
          <w:sz w:val="20"/>
          <w:szCs w:val="20"/>
          <w:lang w:val="en-GB" w:eastAsia="it-IT"/>
        </w:rPr>
      </w:pPr>
      <w:r w:rsidRPr="00F340E1">
        <w:rPr>
          <w:rFonts w:ascii="Arial" w:eastAsia="Calibri" w:hAnsi="Arial" w:cs="Arial"/>
          <w:color w:val="000000"/>
          <w:kern w:val="0"/>
          <w:sz w:val="20"/>
          <w:szCs w:val="20"/>
          <w:lang w:val="en-GB" w:eastAsia="it-IT"/>
        </w:rPr>
        <w:t>The operational definitions of the seven factors are:</w:t>
      </w:r>
    </w:p>
    <w:p w14:paraId="3C7DA63A" w14:textId="1BC692EA" w:rsidR="001A4A5D" w:rsidRPr="00F340E1" w:rsidRDefault="001A4A5D" w:rsidP="00F340E1">
      <w:pPr>
        <w:widowControl/>
        <w:numPr>
          <w:ilvl w:val="0"/>
          <w:numId w:val="2"/>
        </w:numPr>
        <w:ind w:left="0" w:firstLine="0"/>
        <w:rPr>
          <w:rFonts w:ascii="Arial" w:eastAsia="Calibri" w:hAnsi="Arial" w:cs="Arial"/>
          <w:color w:val="000000"/>
          <w:kern w:val="0"/>
          <w:sz w:val="20"/>
          <w:szCs w:val="20"/>
          <w:lang w:val="en-GB" w:eastAsia="it-IT"/>
        </w:rPr>
      </w:pPr>
      <w:r w:rsidRPr="00F340E1">
        <w:rPr>
          <w:rFonts w:ascii="Arial" w:eastAsia="Calibri" w:hAnsi="Arial" w:cs="Arial"/>
          <w:color w:val="000000"/>
          <w:kern w:val="0"/>
          <w:sz w:val="20"/>
          <w:szCs w:val="20"/>
          <w:lang w:val="en-GB" w:eastAsia="it-IT"/>
        </w:rPr>
        <w:t>Subject-learners and their characteristics. This article includes some articles about teachers’ experiences across cultural teaching environments, so teachers’ characteristics also have been considered in this factor.</w:t>
      </w:r>
    </w:p>
    <w:p w14:paraId="529794AB" w14:textId="2BFEEBB5" w:rsidR="001A4A5D" w:rsidRPr="00F340E1" w:rsidRDefault="001A4A5D" w:rsidP="00F340E1">
      <w:pPr>
        <w:widowControl/>
        <w:numPr>
          <w:ilvl w:val="0"/>
          <w:numId w:val="2"/>
        </w:numPr>
        <w:ind w:left="0" w:firstLine="0"/>
        <w:rPr>
          <w:rFonts w:ascii="Arial" w:eastAsia="Calibri" w:hAnsi="Arial" w:cs="Arial"/>
          <w:color w:val="000000"/>
          <w:kern w:val="0"/>
          <w:sz w:val="20"/>
          <w:szCs w:val="20"/>
          <w:lang w:val="en-GB" w:eastAsia="it-IT"/>
        </w:rPr>
      </w:pPr>
      <w:r w:rsidRPr="00F340E1">
        <w:rPr>
          <w:rFonts w:ascii="Arial" w:eastAsia="Calibri" w:hAnsi="Arial" w:cs="Arial"/>
          <w:color w:val="000000"/>
          <w:kern w:val="0"/>
          <w:sz w:val="20"/>
          <w:szCs w:val="20"/>
          <w:lang w:val="en-GB" w:eastAsia="it-IT"/>
        </w:rPr>
        <w:t>Object-the initial/started purpose of the courses, learning tasks, or educational goals from teachers’ perspectives.</w:t>
      </w:r>
    </w:p>
    <w:p w14:paraId="38CB3E00" w14:textId="1845F0AD" w:rsidR="001A4A5D" w:rsidRPr="00F340E1" w:rsidRDefault="001A4A5D" w:rsidP="00F340E1">
      <w:pPr>
        <w:widowControl/>
        <w:numPr>
          <w:ilvl w:val="0"/>
          <w:numId w:val="2"/>
        </w:numPr>
        <w:ind w:left="0" w:firstLine="0"/>
        <w:rPr>
          <w:rFonts w:ascii="Arial" w:eastAsia="Calibri" w:hAnsi="Arial" w:cs="Arial"/>
          <w:color w:val="000000"/>
          <w:kern w:val="0"/>
          <w:sz w:val="20"/>
          <w:szCs w:val="20"/>
          <w:lang w:val="en-GB" w:eastAsia="it-IT"/>
        </w:rPr>
      </w:pPr>
      <w:bookmarkStart w:id="0" w:name="_Hlk99201679"/>
      <w:r w:rsidRPr="00F340E1">
        <w:rPr>
          <w:rFonts w:ascii="Arial" w:eastAsia="Calibri" w:hAnsi="Arial" w:cs="Arial"/>
          <w:color w:val="000000"/>
          <w:kern w:val="0"/>
          <w:sz w:val="20"/>
          <w:szCs w:val="20"/>
          <w:lang w:val="en-GB" w:eastAsia="it-IT"/>
        </w:rPr>
        <w:t xml:space="preserve">Tools- information and communication technologies or learning management systems used in the courses. </w:t>
      </w:r>
    </w:p>
    <w:p w14:paraId="6B2A1790" w14:textId="463F6513" w:rsidR="001A4A5D" w:rsidRPr="00F340E1" w:rsidRDefault="001A4A5D" w:rsidP="00F340E1">
      <w:pPr>
        <w:widowControl/>
        <w:numPr>
          <w:ilvl w:val="0"/>
          <w:numId w:val="2"/>
        </w:numPr>
        <w:ind w:left="0" w:firstLine="0"/>
        <w:rPr>
          <w:rFonts w:ascii="Arial" w:eastAsia="Calibri" w:hAnsi="Arial" w:cs="Arial"/>
          <w:color w:val="000000"/>
          <w:kern w:val="0"/>
          <w:sz w:val="20"/>
          <w:szCs w:val="20"/>
          <w:lang w:val="en-GB" w:eastAsia="it-IT"/>
        </w:rPr>
      </w:pPr>
      <w:r w:rsidRPr="00F340E1">
        <w:rPr>
          <w:rFonts w:ascii="Arial" w:eastAsia="Calibri" w:hAnsi="Arial" w:cs="Arial"/>
          <w:color w:val="000000"/>
          <w:kern w:val="0"/>
          <w:sz w:val="20"/>
          <w:szCs w:val="20"/>
          <w:lang w:val="en-GB" w:eastAsia="it-IT"/>
        </w:rPr>
        <w:t>Community-in this article, this factor is related to disciplines, sometimes a project.</w:t>
      </w:r>
    </w:p>
    <w:p w14:paraId="62F53537" w14:textId="4E2EE1B5" w:rsidR="001A4A5D" w:rsidRPr="00F340E1" w:rsidRDefault="001A4A5D" w:rsidP="00F340E1">
      <w:pPr>
        <w:widowControl/>
        <w:numPr>
          <w:ilvl w:val="0"/>
          <w:numId w:val="2"/>
        </w:numPr>
        <w:ind w:left="0" w:firstLine="0"/>
        <w:rPr>
          <w:rFonts w:ascii="Arial" w:eastAsia="Calibri" w:hAnsi="Arial" w:cs="Arial"/>
          <w:color w:val="000000"/>
          <w:kern w:val="0"/>
          <w:sz w:val="20"/>
          <w:szCs w:val="20"/>
          <w:lang w:val="en-GB" w:eastAsia="it-IT"/>
        </w:rPr>
      </w:pPr>
      <w:r w:rsidRPr="00F340E1">
        <w:rPr>
          <w:rFonts w:ascii="Arial" w:eastAsia="Calibri" w:hAnsi="Arial" w:cs="Arial"/>
          <w:color w:val="000000"/>
          <w:kern w:val="0"/>
          <w:sz w:val="20"/>
          <w:szCs w:val="20"/>
          <w:lang w:val="en-GB" w:eastAsia="it-IT"/>
        </w:rPr>
        <w:t>Rules-content representation, including content organization, information sequencing and structure, and learning assistance (e.g., learning strategies scaffolding). This factor is directly related to pedagogical strategies.</w:t>
      </w:r>
    </w:p>
    <w:p w14:paraId="180FF29F" w14:textId="14AAF8E0" w:rsidR="001A4A5D" w:rsidRPr="00F340E1" w:rsidRDefault="001A4A5D" w:rsidP="00F340E1">
      <w:pPr>
        <w:widowControl/>
        <w:numPr>
          <w:ilvl w:val="0"/>
          <w:numId w:val="2"/>
        </w:numPr>
        <w:ind w:left="0" w:firstLine="0"/>
        <w:rPr>
          <w:rFonts w:ascii="Arial" w:eastAsia="Calibri" w:hAnsi="Arial" w:cs="Arial"/>
          <w:color w:val="000000"/>
          <w:kern w:val="0"/>
          <w:sz w:val="20"/>
          <w:szCs w:val="20"/>
          <w:lang w:val="en-GB" w:eastAsia="it-IT"/>
        </w:rPr>
      </w:pPr>
      <w:r w:rsidRPr="00F340E1">
        <w:rPr>
          <w:rFonts w:ascii="Arial" w:eastAsia="Calibri" w:hAnsi="Arial" w:cs="Arial"/>
          <w:color w:val="000000"/>
          <w:kern w:val="0"/>
          <w:sz w:val="20"/>
          <w:szCs w:val="20"/>
          <w:lang w:val="en-GB" w:eastAsia="it-IT"/>
        </w:rPr>
        <w:t>Division of labor- other stakeholders and their roles in the courses except for teachers and students in the courses.</w:t>
      </w:r>
    </w:p>
    <w:p w14:paraId="3A5FDCFB" w14:textId="3D0960DA" w:rsidR="001A4A5D" w:rsidRDefault="001A4A5D" w:rsidP="00F340E1">
      <w:pPr>
        <w:widowControl/>
        <w:numPr>
          <w:ilvl w:val="0"/>
          <w:numId w:val="2"/>
        </w:numPr>
        <w:ind w:left="0" w:firstLine="0"/>
        <w:rPr>
          <w:rFonts w:ascii="Arial" w:eastAsia="Calibri" w:hAnsi="Arial" w:cs="Arial"/>
          <w:color w:val="000000"/>
          <w:kern w:val="0"/>
          <w:sz w:val="20"/>
          <w:szCs w:val="20"/>
          <w:lang w:val="en-GB" w:eastAsia="it-IT"/>
        </w:rPr>
      </w:pPr>
      <w:r w:rsidRPr="00F340E1">
        <w:rPr>
          <w:rFonts w:ascii="Arial" w:eastAsia="Calibri" w:hAnsi="Arial" w:cs="Arial"/>
          <w:color w:val="000000"/>
          <w:kern w:val="0"/>
          <w:sz w:val="20"/>
          <w:szCs w:val="20"/>
          <w:lang w:val="en-GB" w:eastAsia="it-IT"/>
        </w:rPr>
        <w:t>Outcomes-</w:t>
      </w:r>
      <w:bookmarkEnd w:id="0"/>
      <w:r w:rsidRPr="00F340E1">
        <w:rPr>
          <w:rFonts w:ascii="Arial" w:eastAsia="Calibri" w:hAnsi="Arial" w:cs="Arial"/>
          <w:color w:val="000000"/>
          <w:kern w:val="0"/>
          <w:sz w:val="20"/>
          <w:szCs w:val="20"/>
          <w:lang w:val="en-GB" w:eastAsia="it-IT"/>
        </w:rPr>
        <w:t xml:space="preserve">the measurement of learners’ performances, based on learning objectives but the measure/assessment has more clear instruction and the items are well constructed to be easy to interpret.  </w:t>
      </w:r>
    </w:p>
    <w:p w14:paraId="4D420AD8" w14:textId="77777777" w:rsidR="00F340E1" w:rsidRDefault="00F340E1" w:rsidP="00F340E1">
      <w:pPr>
        <w:widowControl/>
        <w:rPr>
          <w:rFonts w:ascii="Arial" w:eastAsia="Calibri" w:hAnsi="Arial" w:cs="Arial"/>
          <w:color w:val="000000"/>
          <w:kern w:val="0"/>
          <w:sz w:val="20"/>
          <w:szCs w:val="20"/>
          <w:lang w:val="en-GB" w:eastAsia="it-IT"/>
        </w:rPr>
      </w:pPr>
    </w:p>
    <w:p w14:paraId="5827022B" w14:textId="0272D4E6" w:rsidR="007A2839" w:rsidRPr="007A2839" w:rsidRDefault="007A2839" w:rsidP="007A2839">
      <w:pPr>
        <w:widowControl/>
        <w:outlineLvl w:val="0"/>
        <w:rPr>
          <w:rFonts w:ascii="Arial" w:eastAsia="等线" w:hAnsi="Arial" w:cs="Arial" w:hint="eastAsia"/>
          <w:b/>
          <w:bCs/>
          <w:color w:val="000000"/>
          <w:kern w:val="36"/>
          <w:sz w:val="24"/>
          <w:szCs w:val="24"/>
          <w:lang w:eastAsia="it-IT"/>
        </w:rPr>
      </w:pPr>
      <w:r w:rsidRPr="007A2839">
        <w:rPr>
          <w:rFonts w:ascii="Arial" w:eastAsia="等线" w:hAnsi="Arial" w:cs="Arial" w:hint="eastAsia"/>
          <w:b/>
          <w:bCs/>
          <w:color w:val="000000"/>
          <w:kern w:val="36"/>
          <w:sz w:val="24"/>
          <w:szCs w:val="24"/>
          <w:lang w:eastAsia="it-IT"/>
        </w:rPr>
        <w:t>2</w:t>
      </w:r>
      <w:r w:rsidRPr="007A2839">
        <w:rPr>
          <w:rFonts w:ascii="Arial" w:eastAsia="等线" w:hAnsi="Arial" w:cs="Arial"/>
          <w:b/>
          <w:bCs/>
          <w:color w:val="000000"/>
          <w:kern w:val="36"/>
          <w:sz w:val="24"/>
          <w:szCs w:val="24"/>
          <w:lang w:eastAsia="it-IT"/>
        </w:rPr>
        <w:t>. Descriptive analysis</w:t>
      </w:r>
    </w:p>
    <w:p w14:paraId="6FF83051" w14:textId="53947430" w:rsidR="001A4A5D" w:rsidRDefault="001A4A5D" w:rsidP="00F340E1">
      <w:pPr>
        <w:widowControl/>
        <w:rPr>
          <w:rFonts w:ascii="Arial" w:hAnsi="Arial" w:cs="Arial"/>
          <w:sz w:val="20"/>
          <w:szCs w:val="20"/>
        </w:rPr>
      </w:pPr>
      <w:r w:rsidRPr="00F340E1">
        <w:rPr>
          <w:rFonts w:ascii="Arial" w:hAnsi="Arial" w:cs="Arial"/>
          <w:sz w:val="20"/>
          <w:szCs w:val="20"/>
        </w:rPr>
        <w:t>Of 18 studies, 3 (</w:t>
      </w:r>
      <w:r w:rsidR="004B26ED" w:rsidRPr="00F340E1">
        <w:rPr>
          <w:rFonts w:ascii="Arial" w:hAnsi="Arial" w:cs="Arial"/>
          <w:sz w:val="20"/>
          <w:szCs w:val="20"/>
        </w:rPr>
        <w:t>Leh, Grau, and Guiseppe 2015;</w:t>
      </w:r>
      <w:r w:rsidRPr="00F340E1">
        <w:rPr>
          <w:rFonts w:ascii="Arial" w:hAnsi="Arial" w:cs="Arial"/>
          <w:sz w:val="20"/>
          <w:szCs w:val="20"/>
        </w:rPr>
        <w:t xml:space="preserve"> </w:t>
      </w:r>
      <w:r w:rsidR="001521A2" w:rsidRPr="00F340E1">
        <w:rPr>
          <w:rFonts w:ascii="Arial" w:hAnsi="Arial" w:cs="Arial"/>
          <w:sz w:val="20"/>
          <w:szCs w:val="20"/>
        </w:rPr>
        <w:t>Arndt et al. 2021;</w:t>
      </w:r>
      <w:r w:rsidRPr="00F340E1">
        <w:rPr>
          <w:rFonts w:ascii="Arial" w:hAnsi="Arial" w:cs="Arial"/>
          <w:sz w:val="20"/>
          <w:szCs w:val="20"/>
        </w:rPr>
        <w:t xml:space="preserve"> </w:t>
      </w:r>
      <w:r w:rsidR="001521A2" w:rsidRPr="00F340E1">
        <w:rPr>
          <w:rFonts w:ascii="Arial" w:hAnsi="Arial" w:cs="Arial"/>
          <w:sz w:val="20"/>
          <w:szCs w:val="20"/>
        </w:rPr>
        <w:t>Warren 2018</w:t>
      </w:r>
      <w:r w:rsidRPr="00F340E1">
        <w:rPr>
          <w:rFonts w:ascii="Arial" w:hAnsi="Arial" w:cs="Arial"/>
          <w:sz w:val="20"/>
          <w:szCs w:val="20"/>
        </w:rPr>
        <w:t>) examined teachers’ education to enhance cross-cultural pedagogical awareness, 10 (</w:t>
      </w:r>
      <w:r w:rsidR="004B26ED" w:rsidRPr="00F340E1">
        <w:rPr>
          <w:rFonts w:ascii="Arial" w:hAnsi="Arial" w:cs="Arial"/>
          <w:sz w:val="20"/>
          <w:szCs w:val="20"/>
        </w:rPr>
        <w:t>Cheong and Martin 2009;</w:t>
      </w:r>
      <w:r w:rsidRPr="00F340E1">
        <w:rPr>
          <w:rFonts w:ascii="Arial" w:hAnsi="Arial" w:cs="Arial"/>
          <w:sz w:val="20"/>
          <w:szCs w:val="20"/>
        </w:rPr>
        <w:t xml:space="preserve"> </w:t>
      </w:r>
      <w:bookmarkStart w:id="1" w:name="_Hlk108948011"/>
      <w:r w:rsidR="004B26ED" w:rsidRPr="00F340E1">
        <w:rPr>
          <w:rFonts w:ascii="Arial" w:hAnsi="Arial" w:cs="Arial"/>
          <w:sz w:val="20"/>
          <w:szCs w:val="20"/>
        </w:rPr>
        <w:t>Lin and Yang</w:t>
      </w:r>
      <w:bookmarkEnd w:id="1"/>
      <w:r w:rsidR="004B26ED" w:rsidRPr="00F340E1">
        <w:rPr>
          <w:rFonts w:ascii="Arial" w:hAnsi="Arial" w:cs="Arial"/>
          <w:sz w:val="20"/>
          <w:szCs w:val="20"/>
        </w:rPr>
        <w:t xml:space="preserve"> 2</w:t>
      </w:r>
      <w:r w:rsidR="00F340E1">
        <w:rPr>
          <w:rFonts w:ascii="Arial" w:hAnsi="Arial" w:cs="Arial"/>
          <w:sz w:val="20"/>
          <w:szCs w:val="20"/>
        </w:rPr>
        <w:t>015</w:t>
      </w:r>
      <w:r w:rsidR="004B26ED" w:rsidRPr="00F340E1">
        <w:rPr>
          <w:rFonts w:ascii="Arial" w:hAnsi="Arial" w:cs="Arial"/>
          <w:sz w:val="20"/>
          <w:szCs w:val="20"/>
        </w:rPr>
        <w:t>;</w:t>
      </w:r>
      <w:r w:rsidRPr="00F340E1">
        <w:rPr>
          <w:rFonts w:ascii="Arial" w:hAnsi="Arial" w:cs="Arial"/>
          <w:sz w:val="20"/>
          <w:szCs w:val="20"/>
        </w:rPr>
        <w:t xml:space="preserve"> </w:t>
      </w:r>
      <w:r w:rsidR="004B26ED" w:rsidRPr="00F340E1">
        <w:rPr>
          <w:rFonts w:ascii="Arial" w:hAnsi="Arial" w:cs="Arial"/>
          <w:sz w:val="20"/>
          <w:szCs w:val="20"/>
        </w:rPr>
        <w:t>Rubin 2009;</w:t>
      </w:r>
      <w:r w:rsidRPr="00F340E1">
        <w:rPr>
          <w:rFonts w:ascii="Arial" w:hAnsi="Arial" w:cs="Arial"/>
          <w:sz w:val="20"/>
          <w:szCs w:val="20"/>
        </w:rPr>
        <w:t xml:space="preserve"> </w:t>
      </w:r>
      <w:r w:rsidR="004B26ED" w:rsidRPr="00F340E1">
        <w:rPr>
          <w:rFonts w:ascii="Arial" w:hAnsi="Arial" w:cs="Arial"/>
          <w:sz w:val="20"/>
          <w:szCs w:val="20"/>
        </w:rPr>
        <w:t>Stefanova and Jiménez 2019;</w:t>
      </w:r>
      <w:r w:rsidRPr="00F340E1">
        <w:rPr>
          <w:rFonts w:ascii="Arial" w:hAnsi="Arial" w:cs="Arial"/>
          <w:sz w:val="20"/>
          <w:szCs w:val="20"/>
        </w:rPr>
        <w:t xml:space="preserve"> </w:t>
      </w:r>
      <w:r w:rsidR="004B26ED" w:rsidRPr="00F340E1">
        <w:rPr>
          <w:rFonts w:ascii="Arial" w:hAnsi="Arial" w:cs="Arial"/>
          <w:sz w:val="20"/>
          <w:szCs w:val="20"/>
        </w:rPr>
        <w:t>Yang, Olesova, and Richardson 2010;</w:t>
      </w:r>
      <w:r w:rsidRPr="00F340E1">
        <w:rPr>
          <w:rFonts w:ascii="Arial" w:hAnsi="Arial" w:cs="Arial"/>
          <w:sz w:val="20"/>
          <w:szCs w:val="20"/>
        </w:rPr>
        <w:t xml:space="preserve"> </w:t>
      </w:r>
      <w:r w:rsidR="004B26ED" w:rsidRPr="00F340E1">
        <w:rPr>
          <w:rFonts w:ascii="Arial" w:hAnsi="Arial" w:cs="Arial"/>
          <w:sz w:val="20"/>
          <w:szCs w:val="20"/>
        </w:rPr>
        <w:t>Park and Wen 2016;</w:t>
      </w:r>
      <w:r w:rsidRPr="00F340E1">
        <w:rPr>
          <w:rFonts w:ascii="Arial" w:hAnsi="Arial" w:cs="Arial"/>
          <w:sz w:val="20"/>
          <w:szCs w:val="20"/>
        </w:rPr>
        <w:t xml:space="preserve"> </w:t>
      </w:r>
      <w:r w:rsidR="004B26ED" w:rsidRPr="00F340E1">
        <w:rPr>
          <w:rFonts w:ascii="Arial" w:hAnsi="Arial" w:cs="Arial"/>
          <w:sz w:val="20"/>
          <w:szCs w:val="20"/>
        </w:rPr>
        <w:t>Van Boeijen 2016;</w:t>
      </w:r>
      <w:r w:rsidRPr="00F340E1">
        <w:rPr>
          <w:rFonts w:ascii="Arial" w:hAnsi="Arial" w:cs="Arial"/>
          <w:sz w:val="20"/>
          <w:szCs w:val="20"/>
        </w:rPr>
        <w:t xml:space="preserve"> </w:t>
      </w:r>
      <w:r w:rsidR="004B26ED" w:rsidRPr="00F340E1">
        <w:rPr>
          <w:rFonts w:ascii="Arial" w:hAnsi="Arial" w:cs="Arial"/>
          <w:sz w:val="20"/>
          <w:szCs w:val="20"/>
        </w:rPr>
        <w:t>Quan and Gu 2018;</w:t>
      </w:r>
      <w:r w:rsidRPr="00F340E1">
        <w:rPr>
          <w:rFonts w:ascii="Arial" w:hAnsi="Arial" w:cs="Arial"/>
          <w:sz w:val="20"/>
          <w:szCs w:val="20"/>
        </w:rPr>
        <w:t xml:space="preserve"> </w:t>
      </w:r>
      <w:r w:rsidR="004B26ED" w:rsidRPr="00F340E1">
        <w:rPr>
          <w:rFonts w:ascii="Arial" w:hAnsi="Arial" w:cs="Arial"/>
          <w:sz w:val="20"/>
          <w:szCs w:val="20"/>
        </w:rPr>
        <w:t>King Ramirez 2020;</w:t>
      </w:r>
      <w:r w:rsidRPr="00F340E1">
        <w:rPr>
          <w:rFonts w:ascii="Arial" w:hAnsi="Arial" w:cs="Arial"/>
          <w:sz w:val="20"/>
          <w:szCs w:val="20"/>
        </w:rPr>
        <w:t xml:space="preserve"> </w:t>
      </w:r>
      <w:r w:rsidR="004B26ED" w:rsidRPr="00F340E1">
        <w:rPr>
          <w:rFonts w:ascii="Arial" w:hAnsi="Arial" w:cs="Arial"/>
          <w:sz w:val="20"/>
          <w:szCs w:val="20"/>
        </w:rPr>
        <w:t>Gu, Wang, and Mason 2017</w:t>
      </w:r>
      <w:r w:rsidRPr="00F340E1">
        <w:rPr>
          <w:rFonts w:ascii="Arial" w:hAnsi="Arial" w:cs="Arial"/>
          <w:sz w:val="20"/>
          <w:szCs w:val="20"/>
        </w:rPr>
        <w:t>) experimental studies considered the cultural differences in instructional strategies to enhance learning performance in a cross-cultural learning environment, 4 (</w:t>
      </w:r>
      <w:r w:rsidR="001521A2" w:rsidRPr="00F340E1">
        <w:rPr>
          <w:rFonts w:ascii="Arial" w:hAnsi="Arial" w:cs="Arial"/>
          <w:sz w:val="20"/>
          <w:szCs w:val="20"/>
        </w:rPr>
        <w:t>Kumi-Yeboah et al. 2020; Mohamad Nasri, Nasri, and Abd Talib 2021;</w:t>
      </w:r>
      <w:r w:rsidRPr="00F340E1">
        <w:rPr>
          <w:rFonts w:ascii="Arial" w:hAnsi="Arial" w:cs="Arial"/>
          <w:sz w:val="20"/>
          <w:szCs w:val="20"/>
        </w:rPr>
        <w:t xml:space="preserve"> </w:t>
      </w:r>
      <w:r w:rsidR="001521A2" w:rsidRPr="00F340E1">
        <w:rPr>
          <w:rFonts w:ascii="Arial" w:hAnsi="Arial" w:cs="Arial"/>
          <w:sz w:val="20"/>
          <w:szCs w:val="20"/>
        </w:rPr>
        <w:t>Goold, Craig, and Coldwell 2007;</w:t>
      </w:r>
      <w:r w:rsidRPr="00F340E1">
        <w:rPr>
          <w:rFonts w:ascii="Arial" w:hAnsi="Arial" w:cs="Arial"/>
          <w:sz w:val="20"/>
          <w:szCs w:val="20"/>
        </w:rPr>
        <w:t xml:space="preserve"> </w:t>
      </w:r>
      <w:r w:rsidR="001521A2" w:rsidRPr="00F340E1">
        <w:rPr>
          <w:rFonts w:ascii="Arial" w:hAnsi="Arial" w:cs="Arial"/>
          <w:sz w:val="20"/>
          <w:szCs w:val="20"/>
        </w:rPr>
        <w:t>Kumi-Yeboah 2018</w:t>
      </w:r>
      <w:r w:rsidRPr="00F340E1">
        <w:rPr>
          <w:rFonts w:ascii="Arial" w:hAnsi="Arial" w:cs="Arial"/>
          <w:sz w:val="20"/>
          <w:szCs w:val="20"/>
        </w:rPr>
        <w:t>) discussed teachers’ experiences about how to enhance learning across cultural teaching, and 1 (</w:t>
      </w:r>
      <w:r w:rsidR="001521A2" w:rsidRPr="00F340E1">
        <w:rPr>
          <w:rFonts w:ascii="Arial" w:hAnsi="Arial" w:cs="Arial"/>
          <w:sz w:val="20"/>
          <w:szCs w:val="20"/>
        </w:rPr>
        <w:t>Shamir</w:t>
      </w:r>
      <w:r w:rsidR="001521A2" w:rsidRPr="00F340E1">
        <w:rPr>
          <w:rFonts w:ascii="宋体" w:eastAsia="宋体" w:hAnsi="宋体" w:cs="宋体" w:hint="eastAsia"/>
          <w:sz w:val="20"/>
          <w:szCs w:val="20"/>
        </w:rPr>
        <w:t>‐</w:t>
      </w:r>
      <w:r w:rsidR="001521A2" w:rsidRPr="00F340E1">
        <w:rPr>
          <w:rFonts w:ascii="Arial" w:hAnsi="Arial" w:cs="Arial"/>
          <w:sz w:val="20"/>
          <w:szCs w:val="20"/>
        </w:rPr>
        <w:t>Inbal and Blau 2021</w:t>
      </w:r>
      <w:r w:rsidRPr="00F340E1">
        <w:rPr>
          <w:rFonts w:ascii="Arial" w:hAnsi="Arial" w:cs="Arial"/>
          <w:sz w:val="20"/>
          <w:szCs w:val="20"/>
        </w:rPr>
        <w:t xml:space="preserve">) explores cross-cultural project leaders perspectives about how to construct cross-cultural learning project. 17 articles adopted qualitative research methods, and 1 article adopted mixed research methods. Considering the coding scheme, only the first two kinds of the selected articles, 13 articles, were coded based on seven elements of AT. The articles about educators’ teaching experiences in diverse cultural environments and project leaders were considered supplementary to the details of the code item.  </w:t>
      </w:r>
    </w:p>
    <w:p w14:paraId="114B57CA" w14:textId="77777777" w:rsidR="00F340E1" w:rsidRDefault="00F340E1" w:rsidP="00F340E1">
      <w:pPr>
        <w:widowControl/>
        <w:rPr>
          <w:rFonts w:ascii="Arial" w:hAnsi="Arial" w:cs="Arial"/>
          <w:sz w:val="20"/>
          <w:szCs w:val="20"/>
        </w:rPr>
      </w:pPr>
    </w:p>
    <w:p w14:paraId="59228462" w14:textId="61BB7281" w:rsidR="007A2839" w:rsidRPr="007A2839" w:rsidRDefault="007A2839" w:rsidP="007A2839">
      <w:pPr>
        <w:widowControl/>
        <w:outlineLvl w:val="0"/>
        <w:rPr>
          <w:rFonts w:ascii="Arial" w:eastAsia="等线" w:hAnsi="Arial" w:cs="Arial" w:hint="eastAsia"/>
          <w:b/>
          <w:bCs/>
          <w:color w:val="000000"/>
          <w:kern w:val="36"/>
          <w:sz w:val="24"/>
          <w:szCs w:val="24"/>
          <w:lang w:eastAsia="it-IT"/>
        </w:rPr>
      </w:pPr>
      <w:r w:rsidRPr="007A2839">
        <w:rPr>
          <w:rFonts w:ascii="Arial" w:eastAsia="等线" w:hAnsi="Arial" w:cs="Arial" w:hint="eastAsia"/>
          <w:b/>
          <w:bCs/>
          <w:color w:val="000000"/>
          <w:kern w:val="36"/>
          <w:sz w:val="24"/>
          <w:szCs w:val="24"/>
          <w:lang w:eastAsia="it-IT"/>
        </w:rPr>
        <w:t>3</w:t>
      </w:r>
      <w:r w:rsidRPr="007A2839">
        <w:rPr>
          <w:rFonts w:ascii="Arial" w:eastAsia="等线" w:hAnsi="Arial" w:cs="Arial"/>
          <w:b/>
          <w:bCs/>
          <w:color w:val="000000"/>
          <w:kern w:val="36"/>
          <w:sz w:val="24"/>
          <w:szCs w:val="24"/>
          <w:lang w:eastAsia="it-IT"/>
        </w:rPr>
        <w:t xml:space="preserve">. </w:t>
      </w:r>
      <w:r>
        <w:rPr>
          <w:rFonts w:ascii="Arial" w:eastAsia="等线" w:hAnsi="Arial" w:cs="Arial"/>
          <w:b/>
          <w:bCs/>
          <w:color w:val="000000"/>
          <w:kern w:val="36"/>
          <w:sz w:val="24"/>
          <w:szCs w:val="24"/>
          <w:lang w:eastAsia="it-IT"/>
        </w:rPr>
        <w:t xml:space="preserve">Seven </w:t>
      </w:r>
      <w:r w:rsidRPr="007A2839">
        <w:rPr>
          <w:rFonts w:ascii="Arial" w:eastAsia="等线" w:hAnsi="Arial" w:cs="Arial"/>
          <w:b/>
          <w:bCs/>
          <w:color w:val="000000"/>
          <w:kern w:val="36"/>
          <w:sz w:val="24"/>
          <w:szCs w:val="24"/>
          <w:lang w:eastAsia="it-IT"/>
        </w:rPr>
        <w:t>Tables</w:t>
      </w:r>
      <w:r>
        <w:rPr>
          <w:rFonts w:ascii="Arial" w:eastAsia="等线" w:hAnsi="Arial" w:cs="Arial"/>
          <w:b/>
          <w:bCs/>
          <w:color w:val="000000"/>
          <w:kern w:val="36"/>
          <w:sz w:val="24"/>
          <w:szCs w:val="24"/>
          <w:lang w:eastAsia="it-IT"/>
        </w:rPr>
        <w:t xml:space="preserve"> </w:t>
      </w:r>
    </w:p>
    <w:p w14:paraId="1FFB0CB7" w14:textId="5BE978DC" w:rsidR="00AA56EA" w:rsidRPr="00F340E1" w:rsidRDefault="00AA56EA" w:rsidP="00AA56EA">
      <w:pPr>
        <w:rPr>
          <w:rFonts w:ascii="Arial" w:eastAsia="Times New Roman" w:hAnsi="Arial" w:cs="Arial"/>
          <w:kern w:val="0"/>
          <w:sz w:val="20"/>
          <w:szCs w:val="20"/>
          <w:lang w:val="en-GB" w:eastAsia="en-GB"/>
        </w:rPr>
      </w:pPr>
      <w:r w:rsidRPr="00F340E1">
        <w:rPr>
          <w:rFonts w:ascii="Arial" w:eastAsia="Times New Roman" w:hAnsi="Arial" w:cs="Arial"/>
          <w:kern w:val="0"/>
          <w:sz w:val="20"/>
          <w:szCs w:val="20"/>
          <w:lang w:val="en-GB" w:eastAsia="en-GB"/>
        </w:rPr>
        <w:t xml:space="preserve">Table </w:t>
      </w:r>
      <w:r w:rsidR="007A2839">
        <w:rPr>
          <w:rFonts w:ascii="Arial" w:eastAsia="Times New Roman" w:hAnsi="Arial" w:cs="Arial"/>
          <w:kern w:val="0"/>
          <w:sz w:val="20"/>
          <w:szCs w:val="20"/>
          <w:lang w:val="en-GB" w:eastAsia="en-GB"/>
        </w:rPr>
        <w:t>1</w:t>
      </w:r>
      <w:r w:rsidRPr="00F340E1">
        <w:rPr>
          <w:rFonts w:ascii="Arial" w:eastAsia="Times New Roman" w:hAnsi="Arial" w:cs="Arial"/>
          <w:kern w:val="0"/>
          <w:sz w:val="20"/>
          <w:szCs w:val="20"/>
          <w:lang w:val="en-GB" w:eastAsia="en-GB"/>
        </w:rPr>
        <w:t xml:space="preserve">. </w:t>
      </w:r>
      <w:r w:rsidR="007A2839">
        <w:rPr>
          <w:rFonts w:ascii="Arial" w:eastAsia="Times New Roman" w:hAnsi="Arial" w:cs="Arial"/>
          <w:kern w:val="0"/>
          <w:sz w:val="20"/>
          <w:szCs w:val="20"/>
          <w:lang w:val="en-GB" w:eastAsia="en-GB"/>
        </w:rPr>
        <w:t>Subject</w:t>
      </w:r>
    </w:p>
    <w:tbl>
      <w:tblPr>
        <w:tblStyle w:val="aa"/>
        <w:tblW w:w="9209" w:type="dxa"/>
        <w:tblLook w:val="04A0" w:firstRow="1" w:lastRow="0" w:firstColumn="1" w:lastColumn="0" w:noHBand="0" w:noVBand="1"/>
      </w:tblPr>
      <w:tblGrid>
        <w:gridCol w:w="1560"/>
        <w:gridCol w:w="1896"/>
        <w:gridCol w:w="5753"/>
      </w:tblGrid>
      <w:tr w:rsidR="00AA56EA" w:rsidRPr="00F340E1" w14:paraId="0EF8AA42" w14:textId="77777777" w:rsidTr="00F340E1">
        <w:tc>
          <w:tcPr>
            <w:tcW w:w="1560" w:type="dxa"/>
            <w:hideMark/>
          </w:tcPr>
          <w:p w14:paraId="218DBC63" w14:textId="77777777" w:rsidR="00AA56EA" w:rsidRPr="00F340E1" w:rsidRDefault="00AA56EA">
            <w:pPr>
              <w:jc w:val="center"/>
              <w:rPr>
                <w:rFonts w:ascii="Arial" w:hAnsi="Arial" w:cs="Arial"/>
                <w:sz w:val="20"/>
                <w:szCs w:val="20"/>
              </w:rPr>
            </w:pPr>
            <w:r w:rsidRPr="00F340E1">
              <w:rPr>
                <w:rFonts w:ascii="Arial" w:hAnsi="Arial" w:cs="Arial"/>
                <w:sz w:val="20"/>
                <w:szCs w:val="20"/>
              </w:rPr>
              <w:t>Elements in AT</w:t>
            </w:r>
          </w:p>
        </w:tc>
        <w:tc>
          <w:tcPr>
            <w:tcW w:w="1892" w:type="dxa"/>
            <w:hideMark/>
          </w:tcPr>
          <w:p w14:paraId="5580F5E2" w14:textId="77777777" w:rsidR="00AA56EA" w:rsidRPr="00F340E1" w:rsidRDefault="00AA56EA">
            <w:pPr>
              <w:jc w:val="center"/>
              <w:rPr>
                <w:rFonts w:ascii="Arial" w:hAnsi="Arial" w:cs="Arial"/>
                <w:sz w:val="20"/>
                <w:szCs w:val="20"/>
              </w:rPr>
            </w:pPr>
            <w:r w:rsidRPr="00F340E1">
              <w:rPr>
                <w:rFonts w:ascii="Arial" w:hAnsi="Arial" w:cs="Arial"/>
                <w:sz w:val="20"/>
                <w:szCs w:val="20"/>
              </w:rPr>
              <w:t>Sub-elements</w:t>
            </w:r>
          </w:p>
        </w:tc>
        <w:tc>
          <w:tcPr>
            <w:tcW w:w="5757" w:type="dxa"/>
            <w:hideMark/>
          </w:tcPr>
          <w:p w14:paraId="4F65C9B9" w14:textId="77777777" w:rsidR="00AA56EA" w:rsidRPr="00F340E1" w:rsidRDefault="00AA56EA">
            <w:pPr>
              <w:jc w:val="center"/>
              <w:rPr>
                <w:rFonts w:ascii="Arial" w:hAnsi="Arial" w:cs="Arial"/>
                <w:sz w:val="20"/>
                <w:szCs w:val="20"/>
              </w:rPr>
            </w:pPr>
            <w:r w:rsidRPr="00F340E1">
              <w:rPr>
                <w:rFonts w:ascii="Arial" w:hAnsi="Arial" w:cs="Arial"/>
                <w:sz w:val="20"/>
                <w:szCs w:val="20"/>
              </w:rPr>
              <w:t>Items</w:t>
            </w:r>
          </w:p>
        </w:tc>
      </w:tr>
      <w:tr w:rsidR="00AA56EA" w:rsidRPr="00F340E1" w14:paraId="50A1B33C" w14:textId="77777777" w:rsidTr="00F340E1">
        <w:trPr>
          <w:trHeight w:val="212"/>
        </w:trPr>
        <w:tc>
          <w:tcPr>
            <w:tcW w:w="1555" w:type="dxa"/>
            <w:vMerge w:val="restart"/>
            <w:hideMark/>
          </w:tcPr>
          <w:p w14:paraId="74A8569A" w14:textId="77777777" w:rsidR="00AA56EA" w:rsidRPr="00F340E1" w:rsidRDefault="00AA56EA">
            <w:pPr>
              <w:jc w:val="center"/>
              <w:rPr>
                <w:rFonts w:ascii="Arial" w:hAnsi="Arial" w:cs="Arial"/>
                <w:sz w:val="20"/>
                <w:szCs w:val="20"/>
              </w:rPr>
            </w:pPr>
            <w:r w:rsidRPr="00F340E1">
              <w:rPr>
                <w:rFonts w:ascii="Arial" w:hAnsi="Arial" w:cs="Arial"/>
                <w:sz w:val="20"/>
                <w:szCs w:val="20"/>
              </w:rPr>
              <w:t>Subject</w:t>
            </w:r>
          </w:p>
        </w:tc>
        <w:tc>
          <w:tcPr>
            <w:tcW w:w="1897" w:type="dxa"/>
            <w:vMerge w:val="restart"/>
            <w:hideMark/>
          </w:tcPr>
          <w:p w14:paraId="790F4DB9" w14:textId="77777777" w:rsidR="00AA56EA" w:rsidRPr="00F340E1" w:rsidRDefault="00AA56EA">
            <w:pPr>
              <w:jc w:val="center"/>
              <w:rPr>
                <w:rFonts w:ascii="Arial" w:hAnsi="Arial" w:cs="Arial"/>
                <w:sz w:val="20"/>
                <w:szCs w:val="20"/>
              </w:rPr>
            </w:pPr>
            <w:r w:rsidRPr="00F340E1">
              <w:rPr>
                <w:rFonts w:ascii="Arial" w:hAnsi="Arial" w:cs="Arial"/>
                <w:sz w:val="20"/>
                <w:szCs w:val="20"/>
              </w:rPr>
              <w:t>Students</w:t>
            </w:r>
          </w:p>
        </w:tc>
        <w:tc>
          <w:tcPr>
            <w:tcW w:w="5757" w:type="dxa"/>
            <w:hideMark/>
          </w:tcPr>
          <w:p w14:paraId="5B25B51B" w14:textId="77777777" w:rsidR="00AA56EA" w:rsidRPr="00F340E1" w:rsidRDefault="00AA56EA">
            <w:pPr>
              <w:jc w:val="left"/>
              <w:rPr>
                <w:rFonts w:ascii="Arial" w:hAnsi="Arial" w:cs="Arial"/>
                <w:sz w:val="20"/>
                <w:szCs w:val="20"/>
              </w:rPr>
            </w:pPr>
            <w:r w:rsidRPr="00F340E1">
              <w:rPr>
                <w:rFonts w:ascii="Arial" w:hAnsi="Arial" w:cs="Arial"/>
                <w:sz w:val="20"/>
                <w:szCs w:val="20"/>
              </w:rPr>
              <w:t>Ethnicity (Cheong and Martin 2009)</w:t>
            </w:r>
          </w:p>
        </w:tc>
      </w:tr>
      <w:tr w:rsidR="00AA56EA" w:rsidRPr="00F340E1" w14:paraId="0FA77C37" w14:textId="77777777" w:rsidTr="00F340E1">
        <w:tc>
          <w:tcPr>
            <w:tcW w:w="1555" w:type="dxa"/>
            <w:vMerge/>
            <w:vAlign w:val="center"/>
            <w:hideMark/>
          </w:tcPr>
          <w:p w14:paraId="6665EA3F" w14:textId="77777777" w:rsidR="00AA56EA" w:rsidRPr="00F340E1" w:rsidRDefault="00AA56EA">
            <w:pPr>
              <w:widowControl/>
              <w:jc w:val="left"/>
              <w:rPr>
                <w:rFonts w:ascii="Arial" w:hAnsi="Arial" w:cs="Arial"/>
                <w:sz w:val="20"/>
                <w:szCs w:val="20"/>
              </w:rPr>
            </w:pPr>
          </w:p>
        </w:tc>
        <w:tc>
          <w:tcPr>
            <w:tcW w:w="1897" w:type="dxa"/>
            <w:vMerge/>
            <w:vAlign w:val="center"/>
            <w:hideMark/>
          </w:tcPr>
          <w:p w14:paraId="6ED870D7" w14:textId="77777777" w:rsidR="00AA56EA" w:rsidRPr="00F340E1" w:rsidRDefault="00AA56EA">
            <w:pPr>
              <w:widowControl/>
              <w:jc w:val="left"/>
              <w:rPr>
                <w:rFonts w:ascii="Arial" w:hAnsi="Arial" w:cs="Arial"/>
                <w:sz w:val="20"/>
                <w:szCs w:val="20"/>
              </w:rPr>
            </w:pPr>
          </w:p>
        </w:tc>
        <w:tc>
          <w:tcPr>
            <w:tcW w:w="5757" w:type="dxa"/>
            <w:hideMark/>
          </w:tcPr>
          <w:p w14:paraId="006DCEE9" w14:textId="77777777" w:rsidR="00AA56EA" w:rsidRPr="00F340E1" w:rsidRDefault="00AA56EA">
            <w:pPr>
              <w:jc w:val="left"/>
              <w:rPr>
                <w:rFonts w:ascii="Arial" w:hAnsi="Arial" w:cs="Arial"/>
                <w:sz w:val="20"/>
                <w:szCs w:val="20"/>
              </w:rPr>
            </w:pPr>
            <w:r w:rsidRPr="00F340E1">
              <w:rPr>
                <w:rFonts w:ascii="Arial" w:hAnsi="Arial" w:cs="Arial"/>
                <w:sz w:val="20"/>
                <w:szCs w:val="20"/>
              </w:rPr>
              <w:t>Nationality (</w:t>
            </w:r>
            <w:r w:rsidRPr="00F340E1">
              <w:rPr>
                <w:rFonts w:ascii="Arial" w:hAnsi="Arial" w:cs="Arial"/>
                <w:sz w:val="20"/>
                <w:szCs w:val="20"/>
                <w:lang w:val="en-GB"/>
              </w:rPr>
              <w:t>Leh, Grau, and Guiseppe 2015;</w:t>
            </w:r>
            <w:r w:rsidRPr="00F340E1">
              <w:rPr>
                <w:rFonts w:ascii="Arial" w:hAnsi="Arial" w:cs="Arial"/>
                <w:color w:val="222222"/>
                <w:sz w:val="20"/>
                <w:szCs w:val="20"/>
                <w:shd w:val="clear" w:color="auto" w:fill="FFFFFF"/>
              </w:rPr>
              <w:t xml:space="preserve"> </w:t>
            </w:r>
            <w:r w:rsidRPr="00F340E1">
              <w:rPr>
                <w:rFonts w:ascii="Arial" w:hAnsi="Arial" w:cs="Arial"/>
                <w:sz w:val="20"/>
                <w:szCs w:val="20"/>
              </w:rPr>
              <w:t xml:space="preserve">Park and Wen 2016; Quan and Gu 2018; Arndt et al. 2021; King Ramirez 2020; </w:t>
            </w:r>
            <w:r w:rsidRPr="00F340E1">
              <w:rPr>
                <w:rFonts w:ascii="Arial" w:hAnsi="Arial" w:cs="Arial"/>
                <w:sz w:val="20"/>
                <w:szCs w:val="20"/>
                <w:lang w:val="en-GB"/>
              </w:rPr>
              <w:t>Gu, Wang, and Mason 2017</w:t>
            </w:r>
            <w:r w:rsidRPr="00F340E1">
              <w:rPr>
                <w:rFonts w:ascii="Arial" w:hAnsi="Arial" w:cs="Arial"/>
                <w:sz w:val="20"/>
                <w:szCs w:val="20"/>
              </w:rPr>
              <w:t>)</w:t>
            </w:r>
          </w:p>
        </w:tc>
      </w:tr>
      <w:tr w:rsidR="00AA56EA" w:rsidRPr="00F340E1" w14:paraId="2E35EF13" w14:textId="77777777" w:rsidTr="00F340E1">
        <w:trPr>
          <w:trHeight w:val="239"/>
        </w:trPr>
        <w:tc>
          <w:tcPr>
            <w:tcW w:w="1555" w:type="dxa"/>
            <w:vMerge/>
            <w:vAlign w:val="center"/>
            <w:hideMark/>
          </w:tcPr>
          <w:p w14:paraId="27550CF8" w14:textId="77777777" w:rsidR="00AA56EA" w:rsidRPr="00F340E1" w:rsidRDefault="00AA56EA">
            <w:pPr>
              <w:widowControl/>
              <w:jc w:val="left"/>
              <w:rPr>
                <w:rFonts w:ascii="Arial" w:hAnsi="Arial" w:cs="Arial"/>
                <w:sz w:val="20"/>
                <w:szCs w:val="20"/>
              </w:rPr>
            </w:pPr>
          </w:p>
        </w:tc>
        <w:tc>
          <w:tcPr>
            <w:tcW w:w="1897" w:type="dxa"/>
            <w:vMerge/>
            <w:vAlign w:val="center"/>
            <w:hideMark/>
          </w:tcPr>
          <w:p w14:paraId="04DF53E9" w14:textId="77777777" w:rsidR="00AA56EA" w:rsidRPr="00F340E1" w:rsidRDefault="00AA56EA">
            <w:pPr>
              <w:widowControl/>
              <w:jc w:val="left"/>
              <w:rPr>
                <w:rFonts w:ascii="Arial" w:hAnsi="Arial" w:cs="Arial"/>
                <w:sz w:val="20"/>
                <w:szCs w:val="20"/>
              </w:rPr>
            </w:pPr>
          </w:p>
        </w:tc>
        <w:tc>
          <w:tcPr>
            <w:tcW w:w="5757" w:type="dxa"/>
            <w:hideMark/>
          </w:tcPr>
          <w:p w14:paraId="06A2CA42" w14:textId="77777777" w:rsidR="00AA56EA" w:rsidRPr="00F340E1" w:rsidRDefault="00AA56EA">
            <w:pPr>
              <w:jc w:val="left"/>
              <w:rPr>
                <w:rFonts w:ascii="Arial" w:hAnsi="Arial" w:cs="Arial"/>
                <w:sz w:val="20"/>
                <w:szCs w:val="20"/>
              </w:rPr>
            </w:pPr>
            <w:r w:rsidRPr="00F340E1">
              <w:rPr>
                <w:rFonts w:ascii="Arial" w:hAnsi="Arial" w:cs="Arial"/>
                <w:sz w:val="20"/>
                <w:szCs w:val="20"/>
              </w:rPr>
              <w:t xml:space="preserve">Different subgroups (Lin and Yang 2015; Yang, Olesova, and </w:t>
            </w:r>
            <w:r w:rsidRPr="00F340E1">
              <w:rPr>
                <w:rFonts w:ascii="Arial" w:hAnsi="Arial" w:cs="Arial"/>
                <w:sz w:val="20"/>
                <w:szCs w:val="20"/>
              </w:rPr>
              <w:lastRenderedPageBreak/>
              <w:t>Richardson 2010)</w:t>
            </w:r>
          </w:p>
        </w:tc>
      </w:tr>
      <w:tr w:rsidR="00AA56EA" w:rsidRPr="00F340E1" w14:paraId="443F8DBB" w14:textId="77777777" w:rsidTr="00F340E1">
        <w:tc>
          <w:tcPr>
            <w:tcW w:w="1555" w:type="dxa"/>
            <w:vMerge/>
            <w:vAlign w:val="center"/>
            <w:hideMark/>
          </w:tcPr>
          <w:p w14:paraId="66218AB9" w14:textId="77777777" w:rsidR="00AA56EA" w:rsidRPr="00F340E1" w:rsidRDefault="00AA56EA">
            <w:pPr>
              <w:widowControl/>
              <w:jc w:val="left"/>
              <w:rPr>
                <w:rFonts w:ascii="Arial" w:hAnsi="Arial" w:cs="Arial"/>
                <w:sz w:val="20"/>
                <w:szCs w:val="20"/>
              </w:rPr>
            </w:pPr>
          </w:p>
        </w:tc>
        <w:tc>
          <w:tcPr>
            <w:tcW w:w="1897" w:type="dxa"/>
            <w:hideMark/>
          </w:tcPr>
          <w:p w14:paraId="2FD3C319" w14:textId="77777777" w:rsidR="00AA56EA" w:rsidRPr="00F340E1" w:rsidRDefault="00AA56EA">
            <w:pPr>
              <w:jc w:val="center"/>
              <w:rPr>
                <w:rFonts w:ascii="Arial" w:hAnsi="Arial" w:cs="Arial"/>
                <w:sz w:val="20"/>
                <w:szCs w:val="20"/>
              </w:rPr>
            </w:pPr>
            <w:r w:rsidRPr="00F340E1">
              <w:rPr>
                <w:rFonts w:ascii="Arial" w:hAnsi="Arial" w:cs="Arial"/>
                <w:sz w:val="20"/>
                <w:szCs w:val="20"/>
              </w:rPr>
              <w:t>Teachers</w:t>
            </w:r>
          </w:p>
        </w:tc>
        <w:tc>
          <w:tcPr>
            <w:tcW w:w="5757" w:type="dxa"/>
            <w:hideMark/>
          </w:tcPr>
          <w:p w14:paraId="69F056D1" w14:textId="77777777" w:rsidR="00AA56EA" w:rsidRPr="00F340E1" w:rsidRDefault="00AA56EA">
            <w:pPr>
              <w:jc w:val="left"/>
              <w:rPr>
                <w:rFonts w:ascii="Arial" w:hAnsi="Arial" w:cs="Arial"/>
                <w:sz w:val="20"/>
                <w:szCs w:val="20"/>
              </w:rPr>
            </w:pPr>
            <w:r w:rsidRPr="00F340E1">
              <w:rPr>
                <w:rFonts w:ascii="Arial" w:hAnsi="Arial" w:cs="Arial"/>
                <w:sz w:val="20"/>
                <w:szCs w:val="20"/>
              </w:rPr>
              <w:t>Nationality (Arndt et al. 2021)</w:t>
            </w:r>
          </w:p>
        </w:tc>
      </w:tr>
    </w:tbl>
    <w:p w14:paraId="1C2BE63A" w14:textId="77777777" w:rsidR="007A2839" w:rsidRDefault="007A2839" w:rsidP="00D908E8">
      <w:pPr>
        <w:rPr>
          <w:rFonts w:ascii="Arial" w:eastAsia="Times New Roman" w:hAnsi="Arial" w:cs="Arial"/>
          <w:kern w:val="0"/>
          <w:sz w:val="20"/>
          <w:szCs w:val="20"/>
          <w:lang w:val="en-GB" w:eastAsia="en-GB"/>
        </w:rPr>
      </w:pPr>
    </w:p>
    <w:p w14:paraId="028133D3" w14:textId="464690C0" w:rsidR="00D908E8" w:rsidRPr="00F340E1" w:rsidRDefault="00D908E8" w:rsidP="00D908E8">
      <w:pPr>
        <w:rPr>
          <w:rFonts w:ascii="Arial" w:eastAsia="Times New Roman" w:hAnsi="Arial" w:cs="Arial"/>
          <w:kern w:val="0"/>
          <w:sz w:val="20"/>
          <w:szCs w:val="20"/>
          <w:lang w:val="en-GB" w:eastAsia="en-GB"/>
        </w:rPr>
      </w:pPr>
      <w:r w:rsidRPr="00F340E1">
        <w:rPr>
          <w:rFonts w:ascii="Arial" w:eastAsia="Times New Roman" w:hAnsi="Arial" w:cs="Arial"/>
          <w:kern w:val="0"/>
          <w:sz w:val="20"/>
          <w:szCs w:val="20"/>
          <w:lang w:val="en-GB" w:eastAsia="en-GB"/>
        </w:rPr>
        <w:t xml:space="preserve">Table </w:t>
      </w:r>
      <w:r w:rsidR="007A2839">
        <w:rPr>
          <w:rFonts w:ascii="Arial" w:eastAsia="Times New Roman" w:hAnsi="Arial" w:cs="Arial"/>
          <w:kern w:val="0"/>
          <w:sz w:val="20"/>
          <w:szCs w:val="20"/>
          <w:lang w:val="en-GB" w:eastAsia="en-GB"/>
        </w:rPr>
        <w:t>2</w:t>
      </w:r>
      <w:r w:rsidRPr="00F340E1">
        <w:rPr>
          <w:rFonts w:ascii="Arial" w:eastAsia="Times New Roman" w:hAnsi="Arial" w:cs="Arial"/>
          <w:kern w:val="0"/>
          <w:sz w:val="20"/>
          <w:szCs w:val="20"/>
          <w:lang w:val="en-GB" w:eastAsia="en-GB"/>
        </w:rPr>
        <w:t>. Co</w:t>
      </w:r>
      <w:r w:rsidR="007A2839">
        <w:rPr>
          <w:rFonts w:ascii="Arial" w:eastAsia="Times New Roman" w:hAnsi="Arial" w:cs="Arial"/>
          <w:kern w:val="0"/>
          <w:sz w:val="20"/>
          <w:szCs w:val="20"/>
          <w:lang w:val="en-GB" w:eastAsia="en-GB"/>
        </w:rPr>
        <w:t>mmunity</w:t>
      </w:r>
    </w:p>
    <w:tbl>
      <w:tblPr>
        <w:tblStyle w:val="aa"/>
        <w:tblW w:w="9209" w:type="dxa"/>
        <w:tblLook w:val="04A0" w:firstRow="1" w:lastRow="0" w:firstColumn="1" w:lastColumn="0" w:noHBand="0" w:noVBand="1"/>
      </w:tblPr>
      <w:tblGrid>
        <w:gridCol w:w="1560"/>
        <w:gridCol w:w="1892"/>
        <w:gridCol w:w="5757"/>
      </w:tblGrid>
      <w:tr w:rsidR="00D908E8" w:rsidRPr="00F340E1" w14:paraId="1E40A41A" w14:textId="77777777" w:rsidTr="00F340E1">
        <w:tc>
          <w:tcPr>
            <w:tcW w:w="1560" w:type="dxa"/>
            <w:hideMark/>
          </w:tcPr>
          <w:p w14:paraId="756711AB" w14:textId="77777777" w:rsidR="00D908E8" w:rsidRPr="00F340E1" w:rsidRDefault="00D908E8">
            <w:pPr>
              <w:jc w:val="center"/>
              <w:rPr>
                <w:rFonts w:ascii="Arial" w:hAnsi="Arial" w:cs="Arial"/>
                <w:sz w:val="20"/>
                <w:szCs w:val="20"/>
              </w:rPr>
            </w:pPr>
            <w:r w:rsidRPr="00F340E1">
              <w:rPr>
                <w:rFonts w:ascii="Arial" w:hAnsi="Arial" w:cs="Arial"/>
                <w:sz w:val="20"/>
                <w:szCs w:val="20"/>
              </w:rPr>
              <w:t>Elements in AT</w:t>
            </w:r>
          </w:p>
        </w:tc>
        <w:tc>
          <w:tcPr>
            <w:tcW w:w="1892" w:type="dxa"/>
            <w:hideMark/>
          </w:tcPr>
          <w:p w14:paraId="0E1DCBD4" w14:textId="77777777" w:rsidR="00D908E8" w:rsidRPr="00F340E1" w:rsidRDefault="00D908E8">
            <w:pPr>
              <w:jc w:val="center"/>
              <w:rPr>
                <w:rFonts w:ascii="Arial" w:hAnsi="Arial" w:cs="Arial"/>
                <w:sz w:val="20"/>
                <w:szCs w:val="20"/>
              </w:rPr>
            </w:pPr>
            <w:r w:rsidRPr="00F340E1">
              <w:rPr>
                <w:rFonts w:ascii="Arial" w:hAnsi="Arial" w:cs="Arial"/>
                <w:sz w:val="20"/>
                <w:szCs w:val="20"/>
              </w:rPr>
              <w:t>Sub-elements</w:t>
            </w:r>
          </w:p>
        </w:tc>
        <w:tc>
          <w:tcPr>
            <w:tcW w:w="5757" w:type="dxa"/>
            <w:hideMark/>
          </w:tcPr>
          <w:p w14:paraId="28213D7D" w14:textId="77777777" w:rsidR="00D908E8" w:rsidRPr="00F340E1" w:rsidRDefault="00D908E8">
            <w:pPr>
              <w:jc w:val="center"/>
              <w:rPr>
                <w:rFonts w:ascii="Arial" w:hAnsi="Arial" w:cs="Arial"/>
                <w:sz w:val="20"/>
                <w:szCs w:val="20"/>
              </w:rPr>
            </w:pPr>
            <w:r w:rsidRPr="00F340E1">
              <w:rPr>
                <w:rFonts w:ascii="Arial" w:hAnsi="Arial" w:cs="Arial"/>
                <w:sz w:val="20"/>
                <w:szCs w:val="20"/>
              </w:rPr>
              <w:t>Items</w:t>
            </w:r>
          </w:p>
        </w:tc>
      </w:tr>
      <w:tr w:rsidR="00D908E8" w:rsidRPr="00F340E1" w14:paraId="4719DFE8" w14:textId="77777777" w:rsidTr="00F340E1">
        <w:tc>
          <w:tcPr>
            <w:tcW w:w="1560" w:type="dxa"/>
            <w:vMerge w:val="restart"/>
            <w:hideMark/>
          </w:tcPr>
          <w:p w14:paraId="30E43C0F" w14:textId="77777777" w:rsidR="00D908E8" w:rsidRPr="00F340E1" w:rsidRDefault="00D908E8">
            <w:pPr>
              <w:jc w:val="center"/>
              <w:rPr>
                <w:rFonts w:ascii="Arial" w:hAnsi="Arial" w:cs="Arial"/>
                <w:sz w:val="20"/>
                <w:szCs w:val="20"/>
              </w:rPr>
            </w:pPr>
            <w:r w:rsidRPr="00F340E1">
              <w:rPr>
                <w:rFonts w:ascii="Arial" w:hAnsi="Arial" w:cs="Arial"/>
                <w:sz w:val="20"/>
                <w:szCs w:val="20"/>
              </w:rPr>
              <w:t>Community (disciplines or project)</w:t>
            </w:r>
          </w:p>
        </w:tc>
        <w:tc>
          <w:tcPr>
            <w:tcW w:w="1892" w:type="dxa"/>
            <w:vMerge w:val="restart"/>
          </w:tcPr>
          <w:p w14:paraId="3EE0D148" w14:textId="77777777" w:rsidR="00D908E8" w:rsidRPr="00F340E1" w:rsidRDefault="00D908E8">
            <w:pPr>
              <w:jc w:val="center"/>
              <w:rPr>
                <w:rFonts w:ascii="Arial" w:hAnsi="Arial" w:cs="Arial"/>
                <w:sz w:val="20"/>
                <w:szCs w:val="20"/>
              </w:rPr>
            </w:pPr>
            <w:r w:rsidRPr="00F340E1">
              <w:rPr>
                <w:rFonts w:ascii="Arial" w:hAnsi="Arial" w:cs="Arial"/>
                <w:sz w:val="20"/>
                <w:szCs w:val="20"/>
              </w:rPr>
              <w:t>Students</w:t>
            </w:r>
          </w:p>
          <w:p w14:paraId="51C99C15" w14:textId="77777777" w:rsidR="00D908E8" w:rsidRPr="00F340E1" w:rsidRDefault="00D908E8">
            <w:pPr>
              <w:jc w:val="center"/>
              <w:rPr>
                <w:rFonts w:ascii="Arial" w:hAnsi="Arial" w:cs="Arial"/>
                <w:sz w:val="20"/>
                <w:szCs w:val="20"/>
              </w:rPr>
            </w:pPr>
          </w:p>
        </w:tc>
        <w:tc>
          <w:tcPr>
            <w:tcW w:w="5757" w:type="dxa"/>
            <w:hideMark/>
          </w:tcPr>
          <w:p w14:paraId="3E75C52B" w14:textId="77777777" w:rsidR="00D908E8" w:rsidRPr="00F340E1" w:rsidRDefault="00D908E8">
            <w:pPr>
              <w:jc w:val="left"/>
              <w:rPr>
                <w:rFonts w:ascii="Arial" w:hAnsi="Arial" w:cs="Arial"/>
                <w:sz w:val="20"/>
                <w:szCs w:val="20"/>
              </w:rPr>
            </w:pPr>
            <w:r w:rsidRPr="00F340E1">
              <w:rPr>
                <w:rFonts w:ascii="Arial" w:hAnsi="Arial" w:cs="Arial"/>
                <w:sz w:val="20"/>
                <w:szCs w:val="20"/>
              </w:rPr>
              <w:t>Business education course (Rubin 2009; Yang, Olesova, and Richardson 2010)</w:t>
            </w:r>
          </w:p>
        </w:tc>
      </w:tr>
      <w:tr w:rsidR="00D908E8" w:rsidRPr="00F340E1" w14:paraId="1ECB7803" w14:textId="77777777" w:rsidTr="00F340E1">
        <w:tc>
          <w:tcPr>
            <w:tcW w:w="0" w:type="auto"/>
            <w:vMerge/>
            <w:vAlign w:val="center"/>
            <w:hideMark/>
          </w:tcPr>
          <w:p w14:paraId="46AFA697" w14:textId="77777777" w:rsidR="00D908E8" w:rsidRPr="00F340E1" w:rsidRDefault="00D908E8">
            <w:pPr>
              <w:widowControl/>
              <w:jc w:val="left"/>
              <w:rPr>
                <w:rFonts w:ascii="Arial" w:hAnsi="Arial" w:cs="Arial"/>
                <w:sz w:val="20"/>
                <w:szCs w:val="20"/>
              </w:rPr>
            </w:pPr>
          </w:p>
        </w:tc>
        <w:tc>
          <w:tcPr>
            <w:tcW w:w="0" w:type="auto"/>
            <w:vMerge/>
            <w:vAlign w:val="center"/>
            <w:hideMark/>
          </w:tcPr>
          <w:p w14:paraId="5B96CA7E" w14:textId="77777777" w:rsidR="00D908E8" w:rsidRPr="00F340E1" w:rsidRDefault="00D908E8">
            <w:pPr>
              <w:widowControl/>
              <w:jc w:val="left"/>
              <w:rPr>
                <w:rFonts w:ascii="Arial" w:hAnsi="Arial" w:cs="Arial"/>
                <w:sz w:val="20"/>
                <w:szCs w:val="20"/>
              </w:rPr>
            </w:pPr>
          </w:p>
        </w:tc>
        <w:tc>
          <w:tcPr>
            <w:tcW w:w="5757" w:type="dxa"/>
            <w:hideMark/>
          </w:tcPr>
          <w:p w14:paraId="42E3233B" w14:textId="77777777" w:rsidR="00D908E8" w:rsidRPr="00F340E1" w:rsidRDefault="00D908E8">
            <w:pPr>
              <w:jc w:val="left"/>
              <w:rPr>
                <w:rFonts w:ascii="Arial" w:hAnsi="Arial" w:cs="Arial"/>
                <w:sz w:val="20"/>
                <w:szCs w:val="20"/>
              </w:rPr>
            </w:pPr>
            <w:r w:rsidRPr="00F340E1">
              <w:rPr>
                <w:rFonts w:ascii="Arial" w:hAnsi="Arial" w:cs="Arial"/>
                <w:sz w:val="20"/>
                <w:szCs w:val="20"/>
              </w:rPr>
              <w:t>Foreign language learning course (Lin and Yang 2015; Park and Wen 2016)</w:t>
            </w:r>
          </w:p>
        </w:tc>
      </w:tr>
      <w:tr w:rsidR="00D908E8" w:rsidRPr="00F340E1" w14:paraId="470C2535" w14:textId="77777777" w:rsidTr="00F340E1">
        <w:tc>
          <w:tcPr>
            <w:tcW w:w="0" w:type="auto"/>
            <w:vMerge/>
            <w:vAlign w:val="center"/>
            <w:hideMark/>
          </w:tcPr>
          <w:p w14:paraId="7EC7BBF1" w14:textId="77777777" w:rsidR="00D908E8" w:rsidRPr="00F340E1" w:rsidRDefault="00D908E8">
            <w:pPr>
              <w:widowControl/>
              <w:jc w:val="left"/>
              <w:rPr>
                <w:rFonts w:ascii="Arial" w:hAnsi="Arial" w:cs="Arial"/>
                <w:sz w:val="20"/>
                <w:szCs w:val="20"/>
              </w:rPr>
            </w:pPr>
          </w:p>
        </w:tc>
        <w:tc>
          <w:tcPr>
            <w:tcW w:w="0" w:type="auto"/>
            <w:vMerge/>
            <w:vAlign w:val="center"/>
            <w:hideMark/>
          </w:tcPr>
          <w:p w14:paraId="4F81F6E0" w14:textId="77777777" w:rsidR="00D908E8" w:rsidRPr="00F340E1" w:rsidRDefault="00D908E8">
            <w:pPr>
              <w:widowControl/>
              <w:jc w:val="left"/>
              <w:rPr>
                <w:rFonts w:ascii="Arial" w:hAnsi="Arial" w:cs="Arial"/>
                <w:sz w:val="20"/>
                <w:szCs w:val="20"/>
              </w:rPr>
            </w:pPr>
          </w:p>
        </w:tc>
        <w:tc>
          <w:tcPr>
            <w:tcW w:w="5757" w:type="dxa"/>
            <w:hideMark/>
          </w:tcPr>
          <w:p w14:paraId="47E8BF9F" w14:textId="77777777" w:rsidR="00D908E8" w:rsidRPr="00F340E1" w:rsidRDefault="00D908E8">
            <w:pPr>
              <w:jc w:val="left"/>
              <w:rPr>
                <w:rFonts w:ascii="Arial" w:hAnsi="Arial" w:cs="Arial"/>
                <w:sz w:val="20"/>
                <w:szCs w:val="20"/>
              </w:rPr>
            </w:pPr>
            <w:r w:rsidRPr="00F340E1">
              <w:rPr>
                <w:rFonts w:ascii="Arial" w:hAnsi="Arial" w:cs="Arial"/>
                <w:sz w:val="20"/>
                <w:szCs w:val="20"/>
              </w:rPr>
              <w:t>Communication course (Cheong and Martin 2009; Stefanova and Jiménez 2019)</w:t>
            </w:r>
          </w:p>
        </w:tc>
      </w:tr>
      <w:tr w:rsidR="00D908E8" w:rsidRPr="00F340E1" w14:paraId="6AE32CE5" w14:textId="77777777" w:rsidTr="00F340E1">
        <w:tc>
          <w:tcPr>
            <w:tcW w:w="0" w:type="auto"/>
            <w:vMerge/>
            <w:vAlign w:val="center"/>
            <w:hideMark/>
          </w:tcPr>
          <w:p w14:paraId="37FC320E" w14:textId="77777777" w:rsidR="00D908E8" w:rsidRPr="00F340E1" w:rsidRDefault="00D908E8">
            <w:pPr>
              <w:widowControl/>
              <w:jc w:val="left"/>
              <w:rPr>
                <w:rFonts w:ascii="Arial" w:hAnsi="Arial" w:cs="Arial"/>
                <w:sz w:val="20"/>
                <w:szCs w:val="20"/>
              </w:rPr>
            </w:pPr>
          </w:p>
        </w:tc>
        <w:tc>
          <w:tcPr>
            <w:tcW w:w="0" w:type="auto"/>
            <w:vMerge/>
            <w:vAlign w:val="center"/>
            <w:hideMark/>
          </w:tcPr>
          <w:p w14:paraId="611907B8" w14:textId="77777777" w:rsidR="00D908E8" w:rsidRPr="00F340E1" w:rsidRDefault="00D908E8">
            <w:pPr>
              <w:widowControl/>
              <w:jc w:val="left"/>
              <w:rPr>
                <w:rFonts w:ascii="Arial" w:hAnsi="Arial" w:cs="Arial"/>
                <w:sz w:val="20"/>
                <w:szCs w:val="20"/>
              </w:rPr>
            </w:pPr>
          </w:p>
        </w:tc>
        <w:tc>
          <w:tcPr>
            <w:tcW w:w="5757" w:type="dxa"/>
            <w:hideMark/>
          </w:tcPr>
          <w:p w14:paraId="184A065F" w14:textId="77777777" w:rsidR="00D908E8" w:rsidRPr="00F340E1" w:rsidRDefault="00D908E8">
            <w:pPr>
              <w:jc w:val="left"/>
              <w:rPr>
                <w:rFonts w:ascii="Arial" w:hAnsi="Arial" w:cs="Arial"/>
                <w:sz w:val="20"/>
                <w:szCs w:val="20"/>
              </w:rPr>
            </w:pPr>
            <w:r w:rsidRPr="00F340E1">
              <w:rPr>
                <w:rFonts w:ascii="Arial" w:hAnsi="Arial" w:cs="Arial"/>
                <w:sz w:val="20"/>
                <w:szCs w:val="20"/>
              </w:rPr>
              <w:t xml:space="preserve">Product design course (Van Boeijen 2016; </w:t>
            </w:r>
            <w:r w:rsidRPr="00F340E1">
              <w:rPr>
                <w:rFonts w:ascii="Arial" w:hAnsi="Arial" w:cs="Arial"/>
                <w:sz w:val="20"/>
                <w:szCs w:val="20"/>
                <w:lang w:val="en-GB"/>
              </w:rPr>
              <w:t>Gu, Wang, and Mason 2017;</w:t>
            </w:r>
            <w:r w:rsidRPr="00F340E1">
              <w:rPr>
                <w:rFonts w:ascii="Arial" w:hAnsi="Arial" w:cs="Arial"/>
                <w:sz w:val="20"/>
                <w:szCs w:val="20"/>
              </w:rPr>
              <w:t xml:space="preserve"> Quan and Gu 2018)</w:t>
            </w:r>
          </w:p>
        </w:tc>
      </w:tr>
      <w:tr w:rsidR="00D908E8" w:rsidRPr="00F340E1" w14:paraId="503E6992" w14:textId="77777777" w:rsidTr="00F340E1">
        <w:tc>
          <w:tcPr>
            <w:tcW w:w="0" w:type="auto"/>
            <w:vMerge/>
            <w:vAlign w:val="center"/>
            <w:hideMark/>
          </w:tcPr>
          <w:p w14:paraId="283E4AD9" w14:textId="77777777" w:rsidR="00D908E8" w:rsidRPr="00F340E1" w:rsidRDefault="00D908E8">
            <w:pPr>
              <w:widowControl/>
              <w:jc w:val="left"/>
              <w:rPr>
                <w:rFonts w:ascii="Arial" w:hAnsi="Arial" w:cs="Arial"/>
                <w:sz w:val="20"/>
                <w:szCs w:val="20"/>
              </w:rPr>
            </w:pPr>
          </w:p>
        </w:tc>
        <w:tc>
          <w:tcPr>
            <w:tcW w:w="0" w:type="auto"/>
            <w:vMerge/>
            <w:vAlign w:val="center"/>
            <w:hideMark/>
          </w:tcPr>
          <w:p w14:paraId="78CA31D5" w14:textId="77777777" w:rsidR="00D908E8" w:rsidRPr="00F340E1" w:rsidRDefault="00D908E8">
            <w:pPr>
              <w:widowControl/>
              <w:jc w:val="left"/>
              <w:rPr>
                <w:rFonts w:ascii="Arial" w:hAnsi="Arial" w:cs="Arial"/>
                <w:sz w:val="20"/>
                <w:szCs w:val="20"/>
              </w:rPr>
            </w:pPr>
          </w:p>
        </w:tc>
        <w:tc>
          <w:tcPr>
            <w:tcW w:w="5757" w:type="dxa"/>
            <w:hideMark/>
          </w:tcPr>
          <w:p w14:paraId="7FE6B1C2" w14:textId="77777777" w:rsidR="00D908E8" w:rsidRPr="00F340E1" w:rsidRDefault="00D908E8">
            <w:pPr>
              <w:jc w:val="left"/>
              <w:rPr>
                <w:rFonts w:ascii="Arial" w:hAnsi="Arial" w:cs="Arial"/>
                <w:sz w:val="20"/>
                <w:szCs w:val="20"/>
              </w:rPr>
            </w:pPr>
            <w:r w:rsidRPr="00F340E1">
              <w:rPr>
                <w:rFonts w:ascii="Arial" w:hAnsi="Arial" w:cs="Arial"/>
                <w:sz w:val="20"/>
                <w:szCs w:val="20"/>
              </w:rPr>
              <w:t>Digital literacies and consumption (King Ramirez 2020)</w:t>
            </w:r>
          </w:p>
        </w:tc>
      </w:tr>
      <w:tr w:rsidR="00D908E8" w:rsidRPr="00F340E1" w14:paraId="46BACAAA" w14:textId="77777777" w:rsidTr="00F340E1">
        <w:trPr>
          <w:trHeight w:val="684"/>
        </w:trPr>
        <w:tc>
          <w:tcPr>
            <w:tcW w:w="0" w:type="auto"/>
            <w:vMerge/>
            <w:vAlign w:val="center"/>
            <w:hideMark/>
          </w:tcPr>
          <w:p w14:paraId="0564D6E4" w14:textId="77777777" w:rsidR="00D908E8" w:rsidRPr="00F340E1" w:rsidRDefault="00D908E8">
            <w:pPr>
              <w:widowControl/>
              <w:jc w:val="left"/>
              <w:rPr>
                <w:rFonts w:ascii="Arial" w:hAnsi="Arial" w:cs="Arial"/>
                <w:sz w:val="20"/>
                <w:szCs w:val="20"/>
              </w:rPr>
            </w:pPr>
          </w:p>
        </w:tc>
        <w:tc>
          <w:tcPr>
            <w:tcW w:w="1892" w:type="dxa"/>
            <w:hideMark/>
          </w:tcPr>
          <w:p w14:paraId="08949BEF" w14:textId="77777777" w:rsidR="00D908E8" w:rsidRPr="00F340E1" w:rsidRDefault="00D908E8">
            <w:pPr>
              <w:jc w:val="center"/>
              <w:rPr>
                <w:rFonts w:ascii="Arial" w:hAnsi="Arial" w:cs="Arial"/>
                <w:sz w:val="20"/>
                <w:szCs w:val="20"/>
              </w:rPr>
            </w:pPr>
            <w:r w:rsidRPr="00F340E1">
              <w:rPr>
                <w:rFonts w:ascii="Arial" w:hAnsi="Arial" w:cs="Arial"/>
                <w:sz w:val="20"/>
                <w:szCs w:val="20"/>
              </w:rPr>
              <w:t>Teacher</w:t>
            </w:r>
          </w:p>
        </w:tc>
        <w:tc>
          <w:tcPr>
            <w:tcW w:w="5757" w:type="dxa"/>
            <w:hideMark/>
          </w:tcPr>
          <w:p w14:paraId="482ECEA7" w14:textId="77777777" w:rsidR="00D908E8" w:rsidRPr="00F340E1" w:rsidRDefault="00D908E8">
            <w:pPr>
              <w:jc w:val="left"/>
              <w:rPr>
                <w:rFonts w:ascii="Arial" w:hAnsi="Arial" w:cs="Arial"/>
                <w:sz w:val="20"/>
                <w:szCs w:val="20"/>
              </w:rPr>
            </w:pPr>
            <w:r w:rsidRPr="00F340E1">
              <w:rPr>
                <w:rFonts w:ascii="Arial" w:hAnsi="Arial" w:cs="Arial"/>
                <w:sz w:val="20"/>
                <w:szCs w:val="20"/>
              </w:rPr>
              <w:t>Pedagogy of writing instruction for teachers’ course (Warren 2018) Education (</w:t>
            </w:r>
            <w:r w:rsidRPr="00F340E1">
              <w:rPr>
                <w:rFonts w:ascii="Arial" w:hAnsi="Arial" w:cs="Arial"/>
                <w:sz w:val="20"/>
                <w:szCs w:val="20"/>
                <w:lang w:val="en-GB"/>
              </w:rPr>
              <w:t>Leh, Grau, and Guiseppe 2015</w:t>
            </w:r>
            <w:r w:rsidRPr="00F340E1">
              <w:rPr>
                <w:rFonts w:ascii="Arial" w:hAnsi="Arial" w:cs="Arial"/>
                <w:sz w:val="20"/>
                <w:szCs w:val="20"/>
              </w:rPr>
              <w:t>)</w:t>
            </w:r>
          </w:p>
        </w:tc>
      </w:tr>
    </w:tbl>
    <w:p w14:paraId="407D711A" w14:textId="77777777" w:rsidR="007A2839" w:rsidRDefault="007A2839" w:rsidP="00D908E8">
      <w:pPr>
        <w:rPr>
          <w:rFonts w:ascii="Arial" w:eastAsia="Times New Roman" w:hAnsi="Arial" w:cs="Arial"/>
          <w:kern w:val="0"/>
          <w:sz w:val="20"/>
          <w:szCs w:val="20"/>
          <w:lang w:val="en-GB" w:eastAsia="en-GB"/>
        </w:rPr>
      </w:pPr>
    </w:p>
    <w:p w14:paraId="15D79D7A" w14:textId="5B2BF5B1" w:rsidR="00D908E8" w:rsidRPr="00F340E1" w:rsidRDefault="00D908E8" w:rsidP="00D908E8">
      <w:pPr>
        <w:rPr>
          <w:rFonts w:ascii="Arial" w:eastAsia="Times New Roman" w:hAnsi="Arial" w:cs="Arial"/>
          <w:kern w:val="0"/>
          <w:sz w:val="20"/>
          <w:szCs w:val="20"/>
          <w:lang w:val="en-GB" w:eastAsia="en-GB"/>
        </w:rPr>
      </w:pPr>
      <w:r w:rsidRPr="00F340E1">
        <w:rPr>
          <w:rFonts w:ascii="Arial" w:eastAsia="Times New Roman" w:hAnsi="Arial" w:cs="Arial"/>
          <w:kern w:val="0"/>
          <w:sz w:val="20"/>
          <w:szCs w:val="20"/>
          <w:lang w:val="en-GB" w:eastAsia="en-GB"/>
        </w:rPr>
        <w:t xml:space="preserve">Table </w:t>
      </w:r>
      <w:r w:rsidR="007A2839">
        <w:rPr>
          <w:rFonts w:ascii="Arial" w:eastAsia="Times New Roman" w:hAnsi="Arial" w:cs="Arial"/>
          <w:kern w:val="0"/>
          <w:sz w:val="20"/>
          <w:szCs w:val="20"/>
          <w:lang w:val="en-GB" w:eastAsia="en-GB"/>
        </w:rPr>
        <w:t>3</w:t>
      </w:r>
      <w:r w:rsidRPr="00F340E1">
        <w:rPr>
          <w:rFonts w:ascii="Arial" w:eastAsia="Times New Roman" w:hAnsi="Arial" w:cs="Arial"/>
          <w:kern w:val="0"/>
          <w:sz w:val="20"/>
          <w:szCs w:val="20"/>
          <w:lang w:val="en-GB" w:eastAsia="en-GB"/>
        </w:rPr>
        <w:t xml:space="preserve">. </w:t>
      </w:r>
      <w:r w:rsidR="007A2839">
        <w:rPr>
          <w:rFonts w:ascii="Arial" w:eastAsia="Times New Roman" w:hAnsi="Arial" w:cs="Arial"/>
          <w:kern w:val="0"/>
          <w:sz w:val="20"/>
          <w:szCs w:val="20"/>
          <w:lang w:val="en-GB" w:eastAsia="en-GB"/>
        </w:rPr>
        <w:t>Division of labour</w:t>
      </w:r>
    </w:p>
    <w:tbl>
      <w:tblPr>
        <w:tblStyle w:val="aa"/>
        <w:tblW w:w="9209" w:type="dxa"/>
        <w:tblLook w:val="04A0" w:firstRow="1" w:lastRow="0" w:firstColumn="1" w:lastColumn="0" w:noHBand="0" w:noVBand="1"/>
      </w:tblPr>
      <w:tblGrid>
        <w:gridCol w:w="1560"/>
        <w:gridCol w:w="1892"/>
        <w:gridCol w:w="5757"/>
      </w:tblGrid>
      <w:tr w:rsidR="00D908E8" w:rsidRPr="00F340E1" w14:paraId="672EF69C" w14:textId="77777777" w:rsidTr="00F340E1">
        <w:trPr>
          <w:trHeight w:val="434"/>
        </w:trPr>
        <w:tc>
          <w:tcPr>
            <w:tcW w:w="1560" w:type="dxa"/>
            <w:hideMark/>
          </w:tcPr>
          <w:p w14:paraId="113AF3FE" w14:textId="77777777" w:rsidR="00D908E8" w:rsidRPr="00F340E1" w:rsidRDefault="00D908E8">
            <w:pPr>
              <w:jc w:val="center"/>
              <w:rPr>
                <w:rFonts w:ascii="Arial" w:hAnsi="Arial" w:cs="Arial"/>
                <w:sz w:val="20"/>
                <w:szCs w:val="20"/>
              </w:rPr>
            </w:pPr>
            <w:r w:rsidRPr="00F340E1">
              <w:rPr>
                <w:rFonts w:ascii="Arial" w:hAnsi="Arial" w:cs="Arial"/>
                <w:sz w:val="20"/>
                <w:szCs w:val="20"/>
              </w:rPr>
              <w:t>Elements in AT</w:t>
            </w:r>
          </w:p>
        </w:tc>
        <w:tc>
          <w:tcPr>
            <w:tcW w:w="1892" w:type="dxa"/>
            <w:hideMark/>
          </w:tcPr>
          <w:p w14:paraId="1DAF13AB" w14:textId="77777777" w:rsidR="00D908E8" w:rsidRPr="00F340E1" w:rsidRDefault="00D908E8">
            <w:pPr>
              <w:wordWrap w:val="0"/>
              <w:jc w:val="center"/>
              <w:rPr>
                <w:rFonts w:ascii="Arial" w:hAnsi="Arial" w:cs="Arial"/>
                <w:sz w:val="20"/>
                <w:szCs w:val="20"/>
              </w:rPr>
            </w:pPr>
            <w:r w:rsidRPr="00F340E1">
              <w:rPr>
                <w:rFonts w:ascii="Arial" w:hAnsi="Arial" w:cs="Arial"/>
                <w:sz w:val="20"/>
                <w:szCs w:val="20"/>
              </w:rPr>
              <w:t>Sub-elements</w:t>
            </w:r>
          </w:p>
        </w:tc>
        <w:tc>
          <w:tcPr>
            <w:tcW w:w="5757" w:type="dxa"/>
            <w:hideMark/>
          </w:tcPr>
          <w:p w14:paraId="60924A08" w14:textId="77777777" w:rsidR="00D908E8" w:rsidRPr="00F340E1" w:rsidRDefault="00D908E8">
            <w:pPr>
              <w:jc w:val="center"/>
              <w:rPr>
                <w:rFonts w:ascii="Arial" w:hAnsi="Arial" w:cs="Arial"/>
                <w:sz w:val="20"/>
                <w:szCs w:val="20"/>
              </w:rPr>
            </w:pPr>
            <w:r w:rsidRPr="00F340E1">
              <w:rPr>
                <w:rFonts w:ascii="Arial" w:hAnsi="Arial" w:cs="Arial"/>
                <w:sz w:val="20"/>
                <w:szCs w:val="20"/>
              </w:rPr>
              <w:t>Items</w:t>
            </w:r>
          </w:p>
        </w:tc>
      </w:tr>
      <w:tr w:rsidR="00D908E8" w:rsidRPr="00F340E1" w14:paraId="170C6761" w14:textId="77777777" w:rsidTr="00F340E1">
        <w:trPr>
          <w:trHeight w:val="923"/>
        </w:trPr>
        <w:tc>
          <w:tcPr>
            <w:tcW w:w="1560" w:type="dxa"/>
            <w:vMerge w:val="restart"/>
            <w:hideMark/>
          </w:tcPr>
          <w:p w14:paraId="0FB7B97C" w14:textId="505665A3" w:rsidR="00D908E8" w:rsidRPr="00F340E1" w:rsidRDefault="00D908E8">
            <w:pPr>
              <w:jc w:val="center"/>
              <w:rPr>
                <w:rFonts w:ascii="Arial" w:hAnsi="Arial" w:cs="Arial"/>
                <w:sz w:val="20"/>
                <w:szCs w:val="20"/>
              </w:rPr>
            </w:pPr>
            <w:r w:rsidRPr="00F340E1">
              <w:rPr>
                <w:rFonts w:ascii="Arial" w:hAnsi="Arial" w:cs="Arial"/>
                <w:sz w:val="20"/>
                <w:szCs w:val="20"/>
              </w:rPr>
              <w:t>Division of labo</w:t>
            </w:r>
            <w:r w:rsidR="007A2839">
              <w:rPr>
                <w:rFonts w:ascii="Arial" w:hAnsi="Arial" w:cs="Arial"/>
                <w:sz w:val="20"/>
                <w:szCs w:val="20"/>
              </w:rPr>
              <w:t>u</w:t>
            </w:r>
            <w:r w:rsidRPr="00F340E1">
              <w:rPr>
                <w:rFonts w:ascii="Arial" w:hAnsi="Arial" w:cs="Arial"/>
                <w:sz w:val="20"/>
                <w:szCs w:val="20"/>
              </w:rPr>
              <w:t>r (other stakeholders)</w:t>
            </w:r>
          </w:p>
        </w:tc>
        <w:tc>
          <w:tcPr>
            <w:tcW w:w="1892" w:type="dxa"/>
            <w:hideMark/>
          </w:tcPr>
          <w:p w14:paraId="1653725C" w14:textId="77777777" w:rsidR="00D908E8" w:rsidRPr="00F340E1" w:rsidRDefault="00D908E8">
            <w:pPr>
              <w:wordWrap w:val="0"/>
              <w:jc w:val="center"/>
              <w:rPr>
                <w:rFonts w:ascii="Arial" w:hAnsi="Arial" w:cs="Arial"/>
                <w:sz w:val="20"/>
                <w:szCs w:val="20"/>
              </w:rPr>
            </w:pPr>
            <w:r w:rsidRPr="00F340E1">
              <w:rPr>
                <w:rFonts w:ascii="Arial" w:hAnsi="Arial" w:cs="Arial"/>
                <w:sz w:val="20"/>
                <w:szCs w:val="20"/>
              </w:rPr>
              <w:t>Teachers’ office and institutional helpdesk</w:t>
            </w:r>
          </w:p>
        </w:tc>
        <w:tc>
          <w:tcPr>
            <w:tcW w:w="5757" w:type="dxa"/>
            <w:hideMark/>
          </w:tcPr>
          <w:p w14:paraId="1A5702A0" w14:textId="77777777" w:rsidR="00D908E8" w:rsidRPr="00F340E1" w:rsidRDefault="00D908E8">
            <w:pPr>
              <w:jc w:val="left"/>
              <w:rPr>
                <w:rFonts w:ascii="Arial" w:hAnsi="Arial" w:cs="Arial"/>
                <w:sz w:val="20"/>
                <w:szCs w:val="20"/>
              </w:rPr>
            </w:pPr>
            <w:r w:rsidRPr="00F340E1">
              <w:rPr>
                <w:rFonts w:ascii="Arial" w:hAnsi="Arial" w:cs="Arial"/>
                <w:sz w:val="20"/>
                <w:szCs w:val="20"/>
              </w:rPr>
              <w:t>Technical support, Pedagogical assistance, and E-learning quality control from the teachers’ office (Cheong and Martin 2009); Access problems support from the institutional helpdesk (Cheong and Martin 2009)</w:t>
            </w:r>
          </w:p>
        </w:tc>
      </w:tr>
      <w:tr w:rsidR="00D908E8" w:rsidRPr="00F340E1" w14:paraId="0B815352" w14:textId="77777777" w:rsidTr="00F340E1">
        <w:tc>
          <w:tcPr>
            <w:tcW w:w="0" w:type="auto"/>
            <w:vMerge/>
            <w:vAlign w:val="center"/>
            <w:hideMark/>
          </w:tcPr>
          <w:p w14:paraId="51E6B101" w14:textId="77777777" w:rsidR="00D908E8" w:rsidRPr="00F340E1" w:rsidRDefault="00D908E8">
            <w:pPr>
              <w:widowControl/>
              <w:jc w:val="left"/>
              <w:rPr>
                <w:rFonts w:ascii="Arial" w:hAnsi="Arial" w:cs="Arial"/>
                <w:sz w:val="20"/>
                <w:szCs w:val="20"/>
              </w:rPr>
            </w:pPr>
          </w:p>
        </w:tc>
        <w:tc>
          <w:tcPr>
            <w:tcW w:w="1892" w:type="dxa"/>
            <w:hideMark/>
          </w:tcPr>
          <w:p w14:paraId="1A21591E" w14:textId="77777777" w:rsidR="00D908E8" w:rsidRPr="00F340E1" w:rsidRDefault="00D908E8">
            <w:pPr>
              <w:jc w:val="center"/>
              <w:rPr>
                <w:rFonts w:ascii="Arial" w:hAnsi="Arial" w:cs="Arial"/>
                <w:sz w:val="20"/>
                <w:szCs w:val="20"/>
              </w:rPr>
            </w:pPr>
            <w:r w:rsidRPr="00F340E1">
              <w:rPr>
                <w:rFonts w:ascii="Arial" w:hAnsi="Arial" w:cs="Arial"/>
                <w:sz w:val="20"/>
                <w:szCs w:val="20"/>
              </w:rPr>
              <w:t>Researchers contact students directly</w:t>
            </w:r>
          </w:p>
        </w:tc>
        <w:tc>
          <w:tcPr>
            <w:tcW w:w="5757" w:type="dxa"/>
            <w:hideMark/>
          </w:tcPr>
          <w:p w14:paraId="0C64A101" w14:textId="77777777" w:rsidR="00D908E8" w:rsidRPr="00F340E1" w:rsidRDefault="00D908E8">
            <w:pPr>
              <w:jc w:val="left"/>
              <w:rPr>
                <w:rFonts w:ascii="Arial" w:hAnsi="Arial" w:cs="Arial"/>
                <w:sz w:val="20"/>
                <w:szCs w:val="20"/>
              </w:rPr>
            </w:pPr>
            <w:r w:rsidRPr="00F340E1">
              <w:rPr>
                <w:rFonts w:ascii="Arial" w:hAnsi="Arial" w:cs="Arial"/>
                <w:sz w:val="20"/>
                <w:szCs w:val="20"/>
              </w:rPr>
              <w:t>Record student groups’ operation and communication (Quan and Gu 2018); Student group interviews (</w:t>
            </w:r>
            <w:r w:rsidRPr="00F340E1">
              <w:rPr>
                <w:rFonts w:ascii="Arial" w:hAnsi="Arial" w:cs="Arial"/>
                <w:sz w:val="20"/>
                <w:szCs w:val="20"/>
                <w:lang w:val="en-GB"/>
              </w:rPr>
              <w:t>Gu, Wang, and Mason 2017</w:t>
            </w:r>
            <w:r w:rsidRPr="00F340E1">
              <w:rPr>
                <w:rFonts w:ascii="Arial" w:hAnsi="Arial" w:cs="Arial"/>
                <w:sz w:val="20"/>
                <w:szCs w:val="20"/>
              </w:rPr>
              <w:t>)</w:t>
            </w:r>
          </w:p>
        </w:tc>
      </w:tr>
    </w:tbl>
    <w:p w14:paraId="776F80D9" w14:textId="77777777" w:rsidR="007A2839" w:rsidRDefault="007A2839" w:rsidP="00D908E8">
      <w:pPr>
        <w:rPr>
          <w:rFonts w:ascii="Arial" w:eastAsia="Times New Roman" w:hAnsi="Arial" w:cs="Arial"/>
          <w:kern w:val="0"/>
          <w:sz w:val="20"/>
          <w:szCs w:val="20"/>
          <w:lang w:val="en-GB" w:eastAsia="en-GB"/>
        </w:rPr>
      </w:pPr>
    </w:p>
    <w:p w14:paraId="379CB6BA" w14:textId="2768B835" w:rsidR="00D908E8" w:rsidRPr="00F340E1" w:rsidRDefault="00D908E8" w:rsidP="00D908E8">
      <w:pPr>
        <w:rPr>
          <w:rFonts w:ascii="Arial" w:eastAsia="Times New Roman" w:hAnsi="Arial" w:cs="Arial"/>
          <w:kern w:val="0"/>
          <w:sz w:val="20"/>
          <w:szCs w:val="20"/>
          <w:lang w:val="en-GB" w:eastAsia="en-GB"/>
        </w:rPr>
      </w:pPr>
      <w:r w:rsidRPr="00F340E1">
        <w:rPr>
          <w:rFonts w:ascii="Arial" w:eastAsia="Times New Roman" w:hAnsi="Arial" w:cs="Arial"/>
          <w:kern w:val="0"/>
          <w:sz w:val="20"/>
          <w:szCs w:val="20"/>
          <w:lang w:val="en-GB" w:eastAsia="en-GB"/>
        </w:rPr>
        <w:t xml:space="preserve">Table </w:t>
      </w:r>
      <w:r w:rsidR="007A2839">
        <w:rPr>
          <w:rFonts w:ascii="Arial" w:eastAsia="Times New Roman" w:hAnsi="Arial" w:cs="Arial"/>
          <w:kern w:val="0"/>
          <w:sz w:val="20"/>
          <w:szCs w:val="20"/>
          <w:lang w:val="en-GB" w:eastAsia="en-GB"/>
        </w:rPr>
        <w:t>4</w:t>
      </w:r>
      <w:r w:rsidRPr="00F340E1">
        <w:rPr>
          <w:rFonts w:ascii="Arial" w:eastAsia="Times New Roman" w:hAnsi="Arial" w:cs="Arial"/>
          <w:kern w:val="0"/>
          <w:sz w:val="20"/>
          <w:szCs w:val="20"/>
          <w:lang w:val="en-GB" w:eastAsia="en-GB"/>
        </w:rPr>
        <w:t xml:space="preserve">. </w:t>
      </w:r>
      <w:r w:rsidR="007A2839">
        <w:rPr>
          <w:rFonts w:ascii="Arial" w:eastAsia="Times New Roman" w:hAnsi="Arial" w:cs="Arial"/>
          <w:kern w:val="0"/>
          <w:sz w:val="20"/>
          <w:szCs w:val="20"/>
          <w:lang w:val="en-GB" w:eastAsia="en-GB"/>
        </w:rPr>
        <w:t>Objectives</w:t>
      </w:r>
    </w:p>
    <w:tbl>
      <w:tblPr>
        <w:tblStyle w:val="aa"/>
        <w:tblW w:w="9209" w:type="dxa"/>
        <w:tblLook w:val="04A0" w:firstRow="1" w:lastRow="0" w:firstColumn="1" w:lastColumn="0" w:noHBand="0" w:noVBand="1"/>
      </w:tblPr>
      <w:tblGrid>
        <w:gridCol w:w="1560"/>
        <w:gridCol w:w="1892"/>
        <w:gridCol w:w="5757"/>
      </w:tblGrid>
      <w:tr w:rsidR="00D908E8" w:rsidRPr="00F340E1" w14:paraId="0E9FBA0A" w14:textId="77777777" w:rsidTr="00F340E1">
        <w:tc>
          <w:tcPr>
            <w:tcW w:w="1560" w:type="dxa"/>
            <w:hideMark/>
          </w:tcPr>
          <w:p w14:paraId="5C82B8EF" w14:textId="77777777" w:rsidR="00D908E8" w:rsidRPr="00F340E1" w:rsidRDefault="00D908E8">
            <w:pPr>
              <w:jc w:val="center"/>
              <w:rPr>
                <w:rFonts w:ascii="Arial" w:hAnsi="Arial" w:cs="Arial"/>
                <w:sz w:val="20"/>
                <w:szCs w:val="20"/>
              </w:rPr>
            </w:pPr>
            <w:r w:rsidRPr="00F340E1">
              <w:rPr>
                <w:rFonts w:ascii="Arial" w:hAnsi="Arial" w:cs="Arial"/>
                <w:sz w:val="20"/>
                <w:szCs w:val="20"/>
              </w:rPr>
              <w:t>Elements in AT</w:t>
            </w:r>
          </w:p>
        </w:tc>
        <w:tc>
          <w:tcPr>
            <w:tcW w:w="1892" w:type="dxa"/>
            <w:hideMark/>
          </w:tcPr>
          <w:p w14:paraId="1DFD9FAA" w14:textId="77777777" w:rsidR="00D908E8" w:rsidRPr="00F340E1" w:rsidRDefault="00D908E8">
            <w:pPr>
              <w:jc w:val="center"/>
              <w:rPr>
                <w:rFonts w:ascii="Arial" w:hAnsi="Arial" w:cs="Arial"/>
                <w:sz w:val="20"/>
                <w:szCs w:val="20"/>
              </w:rPr>
            </w:pPr>
            <w:r w:rsidRPr="00F340E1">
              <w:rPr>
                <w:rFonts w:ascii="Arial" w:hAnsi="Arial" w:cs="Arial"/>
                <w:sz w:val="20"/>
                <w:szCs w:val="20"/>
              </w:rPr>
              <w:t>Sub-elements</w:t>
            </w:r>
          </w:p>
        </w:tc>
        <w:tc>
          <w:tcPr>
            <w:tcW w:w="5757" w:type="dxa"/>
            <w:hideMark/>
          </w:tcPr>
          <w:p w14:paraId="25E2F362" w14:textId="77777777" w:rsidR="00D908E8" w:rsidRPr="00F340E1" w:rsidRDefault="00D908E8">
            <w:pPr>
              <w:jc w:val="center"/>
              <w:rPr>
                <w:rFonts w:ascii="Arial" w:hAnsi="Arial" w:cs="Arial"/>
                <w:sz w:val="20"/>
                <w:szCs w:val="20"/>
              </w:rPr>
            </w:pPr>
            <w:r w:rsidRPr="00F340E1">
              <w:rPr>
                <w:rFonts w:ascii="Arial" w:hAnsi="Arial" w:cs="Arial"/>
                <w:sz w:val="20"/>
                <w:szCs w:val="20"/>
              </w:rPr>
              <w:t>Items</w:t>
            </w:r>
          </w:p>
        </w:tc>
      </w:tr>
      <w:tr w:rsidR="00D908E8" w:rsidRPr="00F340E1" w14:paraId="7E6F669E" w14:textId="77777777" w:rsidTr="00F340E1">
        <w:tc>
          <w:tcPr>
            <w:tcW w:w="1560" w:type="dxa"/>
            <w:vMerge w:val="restart"/>
            <w:hideMark/>
          </w:tcPr>
          <w:p w14:paraId="20B0D765" w14:textId="77777777" w:rsidR="00D908E8" w:rsidRPr="00F340E1" w:rsidRDefault="00D908E8">
            <w:pPr>
              <w:jc w:val="center"/>
              <w:rPr>
                <w:rFonts w:ascii="Arial" w:hAnsi="Arial" w:cs="Arial"/>
                <w:sz w:val="20"/>
                <w:szCs w:val="20"/>
              </w:rPr>
            </w:pPr>
            <w:r w:rsidRPr="00F340E1">
              <w:rPr>
                <w:rFonts w:ascii="Arial" w:hAnsi="Arial" w:cs="Arial"/>
                <w:sz w:val="20"/>
                <w:szCs w:val="20"/>
              </w:rPr>
              <w:t>Objectives</w:t>
            </w:r>
          </w:p>
        </w:tc>
        <w:tc>
          <w:tcPr>
            <w:tcW w:w="1892" w:type="dxa"/>
            <w:vMerge w:val="restart"/>
            <w:hideMark/>
          </w:tcPr>
          <w:p w14:paraId="3B43F54A" w14:textId="77777777" w:rsidR="00D908E8" w:rsidRPr="00F340E1" w:rsidRDefault="00D908E8">
            <w:pPr>
              <w:jc w:val="center"/>
              <w:rPr>
                <w:rFonts w:ascii="Arial" w:hAnsi="Arial" w:cs="Arial"/>
                <w:sz w:val="20"/>
                <w:szCs w:val="20"/>
              </w:rPr>
            </w:pPr>
            <w:r w:rsidRPr="00F340E1">
              <w:rPr>
                <w:rFonts w:ascii="Arial" w:hAnsi="Arial" w:cs="Arial"/>
                <w:sz w:val="20"/>
                <w:szCs w:val="20"/>
              </w:rPr>
              <w:t>Collaboration skills</w:t>
            </w:r>
          </w:p>
        </w:tc>
        <w:tc>
          <w:tcPr>
            <w:tcW w:w="5757" w:type="dxa"/>
            <w:hideMark/>
          </w:tcPr>
          <w:p w14:paraId="3925E92E" w14:textId="77777777" w:rsidR="00D908E8" w:rsidRPr="00F340E1" w:rsidRDefault="00D908E8">
            <w:pPr>
              <w:jc w:val="left"/>
              <w:rPr>
                <w:rFonts w:ascii="Arial" w:hAnsi="Arial" w:cs="Arial"/>
                <w:sz w:val="20"/>
                <w:szCs w:val="20"/>
              </w:rPr>
            </w:pPr>
            <w:r w:rsidRPr="00F340E1">
              <w:rPr>
                <w:rFonts w:ascii="Arial" w:hAnsi="Arial" w:cs="Arial"/>
                <w:sz w:val="20"/>
                <w:szCs w:val="20"/>
              </w:rPr>
              <w:t>Ability to have intercultural discussions and conversations (Cheong and Martin 2009</w:t>
            </w:r>
            <w:r w:rsidRPr="00F340E1">
              <w:rPr>
                <w:rFonts w:ascii="Arial" w:hAnsi="Arial" w:cs="Arial"/>
                <w:sz w:val="20"/>
                <w:szCs w:val="20"/>
                <w:lang w:val="en-GB"/>
              </w:rPr>
              <w:t xml:space="preserve">; </w:t>
            </w:r>
            <w:r w:rsidRPr="00F340E1">
              <w:rPr>
                <w:rFonts w:ascii="Arial" w:hAnsi="Arial" w:cs="Arial"/>
                <w:sz w:val="20"/>
                <w:szCs w:val="20"/>
              </w:rPr>
              <w:t>Stefanova and Jiménez 2019);</w:t>
            </w:r>
          </w:p>
        </w:tc>
      </w:tr>
      <w:tr w:rsidR="00D908E8" w:rsidRPr="00F340E1" w14:paraId="187B37D5" w14:textId="77777777" w:rsidTr="00F340E1">
        <w:tc>
          <w:tcPr>
            <w:tcW w:w="0" w:type="auto"/>
            <w:vMerge/>
            <w:vAlign w:val="center"/>
            <w:hideMark/>
          </w:tcPr>
          <w:p w14:paraId="12C0C498" w14:textId="77777777" w:rsidR="00D908E8" w:rsidRPr="00F340E1" w:rsidRDefault="00D908E8">
            <w:pPr>
              <w:widowControl/>
              <w:jc w:val="left"/>
              <w:rPr>
                <w:rFonts w:ascii="Arial" w:hAnsi="Arial" w:cs="Arial"/>
                <w:sz w:val="20"/>
                <w:szCs w:val="20"/>
              </w:rPr>
            </w:pPr>
          </w:p>
        </w:tc>
        <w:tc>
          <w:tcPr>
            <w:tcW w:w="0" w:type="auto"/>
            <w:vMerge/>
            <w:vAlign w:val="center"/>
            <w:hideMark/>
          </w:tcPr>
          <w:p w14:paraId="0842C52D" w14:textId="77777777" w:rsidR="00D908E8" w:rsidRPr="00F340E1" w:rsidRDefault="00D908E8">
            <w:pPr>
              <w:widowControl/>
              <w:jc w:val="left"/>
              <w:rPr>
                <w:rFonts w:ascii="Arial" w:hAnsi="Arial" w:cs="Arial"/>
                <w:sz w:val="20"/>
                <w:szCs w:val="20"/>
              </w:rPr>
            </w:pPr>
          </w:p>
        </w:tc>
        <w:tc>
          <w:tcPr>
            <w:tcW w:w="5757" w:type="dxa"/>
            <w:hideMark/>
          </w:tcPr>
          <w:p w14:paraId="04930D8B" w14:textId="77777777" w:rsidR="00D908E8" w:rsidRPr="00F340E1" w:rsidRDefault="00D908E8">
            <w:pPr>
              <w:jc w:val="left"/>
              <w:rPr>
                <w:rFonts w:ascii="Arial" w:hAnsi="Arial" w:cs="Arial"/>
                <w:sz w:val="20"/>
                <w:szCs w:val="20"/>
              </w:rPr>
            </w:pPr>
            <w:r w:rsidRPr="00F340E1">
              <w:rPr>
                <w:rFonts w:ascii="Arial" w:hAnsi="Arial" w:cs="Arial"/>
                <w:sz w:val="20"/>
                <w:szCs w:val="20"/>
              </w:rPr>
              <w:t>Smooth communication and mutual understanding (Quan and Gu 2018)</w:t>
            </w:r>
          </w:p>
        </w:tc>
      </w:tr>
      <w:tr w:rsidR="00D908E8" w:rsidRPr="00F340E1" w14:paraId="7F11E5F6" w14:textId="77777777" w:rsidTr="00F340E1">
        <w:tc>
          <w:tcPr>
            <w:tcW w:w="0" w:type="auto"/>
            <w:vMerge/>
            <w:vAlign w:val="center"/>
            <w:hideMark/>
          </w:tcPr>
          <w:p w14:paraId="4A19B1E8" w14:textId="77777777" w:rsidR="00D908E8" w:rsidRPr="00F340E1" w:rsidRDefault="00D908E8">
            <w:pPr>
              <w:widowControl/>
              <w:jc w:val="left"/>
              <w:rPr>
                <w:rFonts w:ascii="Arial" w:hAnsi="Arial" w:cs="Arial"/>
                <w:sz w:val="20"/>
                <w:szCs w:val="20"/>
              </w:rPr>
            </w:pPr>
          </w:p>
        </w:tc>
        <w:tc>
          <w:tcPr>
            <w:tcW w:w="0" w:type="auto"/>
            <w:vMerge/>
            <w:vAlign w:val="center"/>
            <w:hideMark/>
          </w:tcPr>
          <w:p w14:paraId="56CAEEB7" w14:textId="77777777" w:rsidR="00D908E8" w:rsidRPr="00F340E1" w:rsidRDefault="00D908E8">
            <w:pPr>
              <w:widowControl/>
              <w:jc w:val="left"/>
              <w:rPr>
                <w:rFonts w:ascii="Arial" w:hAnsi="Arial" w:cs="Arial"/>
                <w:sz w:val="20"/>
                <w:szCs w:val="20"/>
              </w:rPr>
            </w:pPr>
          </w:p>
        </w:tc>
        <w:tc>
          <w:tcPr>
            <w:tcW w:w="5757" w:type="dxa"/>
            <w:hideMark/>
          </w:tcPr>
          <w:p w14:paraId="4234CFBA" w14:textId="77777777" w:rsidR="00D908E8" w:rsidRPr="00F340E1" w:rsidRDefault="00D908E8">
            <w:pPr>
              <w:jc w:val="left"/>
              <w:rPr>
                <w:rFonts w:ascii="Arial" w:hAnsi="Arial" w:cs="Arial"/>
                <w:sz w:val="20"/>
                <w:szCs w:val="20"/>
              </w:rPr>
            </w:pPr>
            <w:r w:rsidRPr="00F340E1">
              <w:rPr>
                <w:rFonts w:ascii="Arial" w:hAnsi="Arial" w:cs="Arial"/>
                <w:sz w:val="20"/>
                <w:szCs w:val="20"/>
              </w:rPr>
              <w:t>Cross-national systems building (Rubin 2009)</w:t>
            </w:r>
          </w:p>
        </w:tc>
      </w:tr>
      <w:tr w:rsidR="00D908E8" w:rsidRPr="00F340E1" w14:paraId="73AF158E" w14:textId="77777777" w:rsidTr="00F340E1">
        <w:tc>
          <w:tcPr>
            <w:tcW w:w="0" w:type="auto"/>
            <w:vMerge/>
            <w:vAlign w:val="center"/>
            <w:hideMark/>
          </w:tcPr>
          <w:p w14:paraId="6CB014F0" w14:textId="77777777" w:rsidR="00D908E8" w:rsidRPr="00F340E1" w:rsidRDefault="00D908E8">
            <w:pPr>
              <w:widowControl/>
              <w:jc w:val="left"/>
              <w:rPr>
                <w:rFonts w:ascii="Arial" w:hAnsi="Arial" w:cs="Arial"/>
                <w:sz w:val="20"/>
                <w:szCs w:val="20"/>
              </w:rPr>
            </w:pPr>
          </w:p>
        </w:tc>
        <w:tc>
          <w:tcPr>
            <w:tcW w:w="0" w:type="auto"/>
            <w:vMerge/>
            <w:vAlign w:val="center"/>
            <w:hideMark/>
          </w:tcPr>
          <w:p w14:paraId="3A201DB8" w14:textId="77777777" w:rsidR="00D908E8" w:rsidRPr="00F340E1" w:rsidRDefault="00D908E8">
            <w:pPr>
              <w:widowControl/>
              <w:jc w:val="left"/>
              <w:rPr>
                <w:rFonts w:ascii="Arial" w:hAnsi="Arial" w:cs="Arial"/>
                <w:sz w:val="20"/>
                <w:szCs w:val="20"/>
              </w:rPr>
            </w:pPr>
          </w:p>
        </w:tc>
        <w:tc>
          <w:tcPr>
            <w:tcW w:w="5757" w:type="dxa"/>
            <w:hideMark/>
          </w:tcPr>
          <w:p w14:paraId="7D20F049" w14:textId="77777777" w:rsidR="00D908E8" w:rsidRPr="00F340E1" w:rsidRDefault="00D908E8">
            <w:pPr>
              <w:jc w:val="left"/>
              <w:rPr>
                <w:rFonts w:ascii="Arial" w:hAnsi="Arial" w:cs="Arial"/>
                <w:sz w:val="20"/>
                <w:szCs w:val="20"/>
              </w:rPr>
            </w:pPr>
            <w:r w:rsidRPr="00F340E1">
              <w:rPr>
                <w:rFonts w:ascii="Arial" w:hAnsi="Arial" w:cs="Arial"/>
                <w:sz w:val="20"/>
                <w:szCs w:val="20"/>
              </w:rPr>
              <w:t>The need to internationalize the curriculum (King Ramirez 2020)</w:t>
            </w:r>
          </w:p>
        </w:tc>
      </w:tr>
      <w:tr w:rsidR="00D908E8" w:rsidRPr="00F340E1" w14:paraId="6D5A250C" w14:textId="77777777" w:rsidTr="00F340E1">
        <w:trPr>
          <w:trHeight w:val="301"/>
        </w:trPr>
        <w:tc>
          <w:tcPr>
            <w:tcW w:w="0" w:type="auto"/>
            <w:vMerge/>
            <w:vAlign w:val="center"/>
            <w:hideMark/>
          </w:tcPr>
          <w:p w14:paraId="1EDADE4D" w14:textId="77777777" w:rsidR="00D908E8" w:rsidRPr="00F340E1" w:rsidRDefault="00D908E8">
            <w:pPr>
              <w:widowControl/>
              <w:jc w:val="left"/>
              <w:rPr>
                <w:rFonts w:ascii="Arial" w:hAnsi="Arial" w:cs="Arial"/>
                <w:sz w:val="20"/>
                <w:szCs w:val="20"/>
              </w:rPr>
            </w:pPr>
          </w:p>
        </w:tc>
        <w:tc>
          <w:tcPr>
            <w:tcW w:w="0" w:type="auto"/>
            <w:vMerge/>
            <w:vAlign w:val="center"/>
            <w:hideMark/>
          </w:tcPr>
          <w:p w14:paraId="4D8EF13C" w14:textId="77777777" w:rsidR="00D908E8" w:rsidRPr="00F340E1" w:rsidRDefault="00D908E8">
            <w:pPr>
              <w:widowControl/>
              <w:jc w:val="left"/>
              <w:rPr>
                <w:rFonts w:ascii="Arial" w:hAnsi="Arial" w:cs="Arial"/>
                <w:sz w:val="20"/>
                <w:szCs w:val="20"/>
              </w:rPr>
            </w:pPr>
          </w:p>
        </w:tc>
        <w:tc>
          <w:tcPr>
            <w:tcW w:w="5757" w:type="dxa"/>
            <w:hideMark/>
          </w:tcPr>
          <w:p w14:paraId="7FC96CA6" w14:textId="77777777" w:rsidR="00D908E8" w:rsidRPr="00F340E1" w:rsidRDefault="00D908E8">
            <w:pPr>
              <w:jc w:val="left"/>
              <w:rPr>
                <w:rFonts w:ascii="Arial" w:hAnsi="Arial" w:cs="Arial"/>
                <w:sz w:val="20"/>
                <w:szCs w:val="20"/>
              </w:rPr>
            </w:pPr>
            <w:r w:rsidRPr="00F340E1">
              <w:rPr>
                <w:rFonts w:ascii="Arial" w:hAnsi="Arial" w:cs="Arial"/>
                <w:sz w:val="20"/>
                <w:szCs w:val="20"/>
              </w:rPr>
              <w:t>Collaboration in project-based learning (</w:t>
            </w:r>
            <w:r w:rsidRPr="00F340E1">
              <w:rPr>
                <w:rFonts w:ascii="Arial" w:hAnsi="Arial" w:cs="Arial"/>
                <w:sz w:val="20"/>
                <w:szCs w:val="20"/>
                <w:lang w:val="en-GB"/>
              </w:rPr>
              <w:t>Gu, Wang, and Mason 2017</w:t>
            </w:r>
            <w:r w:rsidRPr="00F340E1">
              <w:rPr>
                <w:rFonts w:ascii="Arial" w:hAnsi="Arial" w:cs="Arial"/>
                <w:sz w:val="20"/>
                <w:szCs w:val="20"/>
              </w:rPr>
              <w:t>)</w:t>
            </w:r>
          </w:p>
        </w:tc>
      </w:tr>
      <w:tr w:rsidR="00D908E8" w:rsidRPr="00F340E1" w14:paraId="0ED084FE" w14:textId="77777777" w:rsidTr="00F340E1">
        <w:tc>
          <w:tcPr>
            <w:tcW w:w="0" w:type="auto"/>
            <w:vMerge/>
            <w:vAlign w:val="center"/>
            <w:hideMark/>
          </w:tcPr>
          <w:p w14:paraId="364C2A3B" w14:textId="77777777" w:rsidR="00D908E8" w:rsidRPr="00F340E1" w:rsidRDefault="00D908E8">
            <w:pPr>
              <w:widowControl/>
              <w:jc w:val="left"/>
              <w:rPr>
                <w:rFonts w:ascii="Arial" w:hAnsi="Arial" w:cs="Arial"/>
                <w:sz w:val="20"/>
                <w:szCs w:val="20"/>
              </w:rPr>
            </w:pPr>
          </w:p>
        </w:tc>
        <w:tc>
          <w:tcPr>
            <w:tcW w:w="1892" w:type="dxa"/>
            <w:vMerge w:val="restart"/>
            <w:hideMark/>
          </w:tcPr>
          <w:p w14:paraId="22FCF06D" w14:textId="77777777" w:rsidR="00D908E8" w:rsidRPr="00F340E1" w:rsidRDefault="00D908E8">
            <w:pPr>
              <w:jc w:val="center"/>
              <w:rPr>
                <w:rFonts w:ascii="Arial" w:hAnsi="Arial" w:cs="Arial"/>
                <w:sz w:val="20"/>
                <w:szCs w:val="20"/>
              </w:rPr>
            </w:pPr>
            <w:r w:rsidRPr="00F340E1">
              <w:rPr>
                <w:rFonts w:ascii="Arial" w:hAnsi="Arial" w:cs="Arial"/>
                <w:sz w:val="20"/>
                <w:szCs w:val="20"/>
              </w:rPr>
              <w:t>Language skills</w:t>
            </w:r>
          </w:p>
        </w:tc>
        <w:tc>
          <w:tcPr>
            <w:tcW w:w="5757" w:type="dxa"/>
            <w:hideMark/>
          </w:tcPr>
          <w:p w14:paraId="5CA05B04" w14:textId="77777777" w:rsidR="00D908E8" w:rsidRPr="00F340E1" w:rsidRDefault="00D908E8">
            <w:pPr>
              <w:jc w:val="left"/>
              <w:rPr>
                <w:rFonts w:ascii="Arial" w:hAnsi="Arial" w:cs="Arial"/>
                <w:sz w:val="20"/>
                <w:szCs w:val="20"/>
              </w:rPr>
            </w:pPr>
            <w:r w:rsidRPr="00F340E1">
              <w:rPr>
                <w:rFonts w:ascii="Arial" w:hAnsi="Arial" w:cs="Arial"/>
                <w:sz w:val="20"/>
                <w:szCs w:val="20"/>
              </w:rPr>
              <w:t>Reading and writing skills in business English through discussion (Yang, Olesova, and Richardson 2010)</w:t>
            </w:r>
          </w:p>
        </w:tc>
      </w:tr>
      <w:tr w:rsidR="00D908E8" w:rsidRPr="00F340E1" w14:paraId="027C0416" w14:textId="77777777" w:rsidTr="00F340E1">
        <w:tc>
          <w:tcPr>
            <w:tcW w:w="0" w:type="auto"/>
            <w:vMerge/>
            <w:vAlign w:val="center"/>
            <w:hideMark/>
          </w:tcPr>
          <w:p w14:paraId="708AC442" w14:textId="77777777" w:rsidR="00D908E8" w:rsidRPr="00F340E1" w:rsidRDefault="00D908E8">
            <w:pPr>
              <w:widowControl/>
              <w:jc w:val="left"/>
              <w:rPr>
                <w:rFonts w:ascii="Arial" w:hAnsi="Arial" w:cs="Arial"/>
                <w:sz w:val="20"/>
                <w:szCs w:val="20"/>
              </w:rPr>
            </w:pPr>
          </w:p>
        </w:tc>
        <w:tc>
          <w:tcPr>
            <w:tcW w:w="0" w:type="auto"/>
            <w:vMerge/>
            <w:vAlign w:val="center"/>
            <w:hideMark/>
          </w:tcPr>
          <w:p w14:paraId="16981CD4" w14:textId="77777777" w:rsidR="00D908E8" w:rsidRPr="00F340E1" w:rsidRDefault="00D908E8">
            <w:pPr>
              <w:widowControl/>
              <w:jc w:val="left"/>
              <w:rPr>
                <w:rFonts w:ascii="Arial" w:hAnsi="Arial" w:cs="Arial"/>
                <w:sz w:val="20"/>
                <w:szCs w:val="20"/>
              </w:rPr>
            </w:pPr>
          </w:p>
        </w:tc>
        <w:tc>
          <w:tcPr>
            <w:tcW w:w="5757" w:type="dxa"/>
            <w:hideMark/>
          </w:tcPr>
          <w:p w14:paraId="6496A670" w14:textId="77777777" w:rsidR="00D908E8" w:rsidRPr="00F340E1" w:rsidRDefault="00D908E8">
            <w:pPr>
              <w:jc w:val="left"/>
              <w:rPr>
                <w:rFonts w:ascii="Arial" w:hAnsi="Arial" w:cs="Arial"/>
                <w:sz w:val="20"/>
                <w:szCs w:val="20"/>
              </w:rPr>
            </w:pPr>
            <w:r w:rsidRPr="00F340E1">
              <w:rPr>
                <w:rFonts w:ascii="Arial" w:hAnsi="Arial" w:cs="Arial"/>
                <w:sz w:val="20"/>
                <w:szCs w:val="20"/>
              </w:rPr>
              <w:t>foreign language vocabulary acquisition (Park and Wen 2016)</w:t>
            </w:r>
          </w:p>
        </w:tc>
      </w:tr>
      <w:tr w:rsidR="00D908E8" w:rsidRPr="00F340E1" w14:paraId="47180984" w14:textId="77777777" w:rsidTr="00F340E1">
        <w:tc>
          <w:tcPr>
            <w:tcW w:w="0" w:type="auto"/>
            <w:vMerge/>
            <w:vAlign w:val="center"/>
            <w:hideMark/>
          </w:tcPr>
          <w:p w14:paraId="6AB57AF5" w14:textId="77777777" w:rsidR="00D908E8" w:rsidRPr="00F340E1" w:rsidRDefault="00D908E8">
            <w:pPr>
              <w:widowControl/>
              <w:jc w:val="left"/>
              <w:rPr>
                <w:rFonts w:ascii="Arial" w:hAnsi="Arial" w:cs="Arial"/>
                <w:sz w:val="20"/>
                <w:szCs w:val="20"/>
              </w:rPr>
            </w:pPr>
          </w:p>
        </w:tc>
        <w:tc>
          <w:tcPr>
            <w:tcW w:w="1892" w:type="dxa"/>
            <w:vMerge w:val="restart"/>
            <w:hideMark/>
          </w:tcPr>
          <w:p w14:paraId="4F3B0756" w14:textId="77777777" w:rsidR="00D908E8" w:rsidRPr="00F340E1" w:rsidRDefault="00D908E8">
            <w:pPr>
              <w:jc w:val="center"/>
              <w:rPr>
                <w:rFonts w:ascii="Arial" w:hAnsi="Arial" w:cs="Arial"/>
                <w:sz w:val="20"/>
                <w:szCs w:val="20"/>
              </w:rPr>
            </w:pPr>
            <w:r w:rsidRPr="00F340E1">
              <w:rPr>
                <w:rFonts w:ascii="Arial" w:hAnsi="Arial" w:cs="Arial"/>
                <w:sz w:val="20"/>
                <w:szCs w:val="20"/>
              </w:rPr>
              <w:t>Cultural awareness</w:t>
            </w:r>
          </w:p>
        </w:tc>
        <w:tc>
          <w:tcPr>
            <w:tcW w:w="5757" w:type="dxa"/>
            <w:hideMark/>
          </w:tcPr>
          <w:p w14:paraId="2695422A" w14:textId="77777777" w:rsidR="00D908E8" w:rsidRPr="00F340E1" w:rsidRDefault="00D908E8">
            <w:pPr>
              <w:jc w:val="left"/>
              <w:rPr>
                <w:rFonts w:ascii="Arial" w:hAnsi="Arial" w:cs="Arial"/>
                <w:sz w:val="20"/>
                <w:szCs w:val="20"/>
              </w:rPr>
            </w:pPr>
            <w:r w:rsidRPr="00F340E1">
              <w:rPr>
                <w:rFonts w:ascii="Arial" w:hAnsi="Arial" w:cs="Arial"/>
                <w:sz w:val="20"/>
                <w:szCs w:val="20"/>
              </w:rPr>
              <w:t>Stereotyping and misperceptions in organizational behavior (Rubin 2009)</w:t>
            </w:r>
          </w:p>
        </w:tc>
      </w:tr>
      <w:tr w:rsidR="00D908E8" w:rsidRPr="00F340E1" w14:paraId="32368535" w14:textId="77777777" w:rsidTr="00F340E1">
        <w:tc>
          <w:tcPr>
            <w:tcW w:w="0" w:type="auto"/>
            <w:vMerge/>
            <w:vAlign w:val="center"/>
            <w:hideMark/>
          </w:tcPr>
          <w:p w14:paraId="0031F901" w14:textId="77777777" w:rsidR="00D908E8" w:rsidRPr="00F340E1" w:rsidRDefault="00D908E8">
            <w:pPr>
              <w:widowControl/>
              <w:jc w:val="left"/>
              <w:rPr>
                <w:rFonts w:ascii="Arial" w:hAnsi="Arial" w:cs="Arial"/>
                <w:sz w:val="20"/>
                <w:szCs w:val="20"/>
              </w:rPr>
            </w:pPr>
          </w:p>
        </w:tc>
        <w:tc>
          <w:tcPr>
            <w:tcW w:w="0" w:type="auto"/>
            <w:vMerge/>
            <w:vAlign w:val="center"/>
            <w:hideMark/>
          </w:tcPr>
          <w:p w14:paraId="182A4BFF" w14:textId="77777777" w:rsidR="00D908E8" w:rsidRPr="00F340E1" w:rsidRDefault="00D908E8">
            <w:pPr>
              <w:widowControl/>
              <w:jc w:val="left"/>
              <w:rPr>
                <w:rFonts w:ascii="Arial" w:hAnsi="Arial" w:cs="Arial"/>
                <w:sz w:val="20"/>
                <w:szCs w:val="20"/>
              </w:rPr>
            </w:pPr>
          </w:p>
        </w:tc>
        <w:tc>
          <w:tcPr>
            <w:tcW w:w="5757" w:type="dxa"/>
            <w:hideMark/>
          </w:tcPr>
          <w:p w14:paraId="29B224B2" w14:textId="77777777" w:rsidR="00D908E8" w:rsidRPr="00F340E1" w:rsidRDefault="00D908E8">
            <w:pPr>
              <w:jc w:val="left"/>
              <w:rPr>
                <w:rFonts w:ascii="Arial" w:hAnsi="Arial" w:cs="Arial"/>
                <w:sz w:val="20"/>
                <w:szCs w:val="20"/>
              </w:rPr>
            </w:pPr>
            <w:r w:rsidRPr="00F340E1">
              <w:rPr>
                <w:rFonts w:ascii="Arial" w:hAnsi="Arial" w:cs="Arial"/>
                <w:sz w:val="20"/>
                <w:szCs w:val="20"/>
              </w:rPr>
              <w:t>the importance of diversity in education (</w:t>
            </w:r>
            <w:r w:rsidRPr="00F340E1">
              <w:rPr>
                <w:rFonts w:ascii="Arial" w:hAnsi="Arial" w:cs="Arial"/>
                <w:sz w:val="20"/>
                <w:szCs w:val="20"/>
                <w:lang w:val="en-GB"/>
              </w:rPr>
              <w:t>Leh, Grau, and Guiseppe 2015</w:t>
            </w:r>
            <w:r w:rsidRPr="00F340E1">
              <w:rPr>
                <w:rFonts w:ascii="Arial" w:hAnsi="Arial" w:cs="Arial"/>
                <w:sz w:val="20"/>
                <w:szCs w:val="20"/>
              </w:rPr>
              <w:t>); Teachers’ possibilities for implementing culturally appropriate writing practices (Warren 2018)</w:t>
            </w:r>
          </w:p>
        </w:tc>
      </w:tr>
      <w:tr w:rsidR="00D908E8" w:rsidRPr="00F340E1" w14:paraId="44740A3F" w14:textId="77777777" w:rsidTr="00F340E1">
        <w:tc>
          <w:tcPr>
            <w:tcW w:w="0" w:type="auto"/>
            <w:vMerge/>
            <w:vAlign w:val="center"/>
            <w:hideMark/>
          </w:tcPr>
          <w:p w14:paraId="70A10550" w14:textId="77777777" w:rsidR="00D908E8" w:rsidRPr="00F340E1" w:rsidRDefault="00D908E8">
            <w:pPr>
              <w:widowControl/>
              <w:jc w:val="left"/>
              <w:rPr>
                <w:rFonts w:ascii="Arial" w:hAnsi="Arial" w:cs="Arial"/>
                <w:sz w:val="20"/>
                <w:szCs w:val="20"/>
              </w:rPr>
            </w:pPr>
          </w:p>
        </w:tc>
        <w:tc>
          <w:tcPr>
            <w:tcW w:w="0" w:type="auto"/>
            <w:vMerge/>
            <w:vAlign w:val="center"/>
            <w:hideMark/>
          </w:tcPr>
          <w:p w14:paraId="6C55BDB4" w14:textId="77777777" w:rsidR="00D908E8" w:rsidRPr="00F340E1" w:rsidRDefault="00D908E8">
            <w:pPr>
              <w:widowControl/>
              <w:jc w:val="left"/>
              <w:rPr>
                <w:rFonts w:ascii="Arial" w:hAnsi="Arial" w:cs="Arial"/>
                <w:sz w:val="20"/>
                <w:szCs w:val="20"/>
              </w:rPr>
            </w:pPr>
          </w:p>
        </w:tc>
        <w:tc>
          <w:tcPr>
            <w:tcW w:w="5757" w:type="dxa"/>
            <w:hideMark/>
          </w:tcPr>
          <w:p w14:paraId="305B951B" w14:textId="77777777" w:rsidR="00D908E8" w:rsidRPr="00F340E1" w:rsidRDefault="00D908E8">
            <w:pPr>
              <w:jc w:val="left"/>
              <w:rPr>
                <w:rFonts w:ascii="Arial" w:hAnsi="Arial" w:cs="Arial"/>
                <w:sz w:val="20"/>
                <w:szCs w:val="20"/>
              </w:rPr>
            </w:pPr>
            <w:r w:rsidRPr="00F340E1">
              <w:rPr>
                <w:rFonts w:ascii="Arial" w:hAnsi="Arial" w:cs="Arial"/>
                <w:sz w:val="20"/>
                <w:szCs w:val="20"/>
              </w:rPr>
              <w:t>To share different thinking and life experience</w:t>
            </w:r>
            <w:r w:rsidRPr="00F340E1">
              <w:rPr>
                <w:rFonts w:ascii="Arial" w:hAnsi="Arial" w:cs="Arial"/>
                <w:sz w:val="20"/>
                <w:szCs w:val="20"/>
              </w:rPr>
              <w:t>（</w:t>
            </w:r>
            <w:r w:rsidRPr="00F340E1">
              <w:rPr>
                <w:rFonts w:ascii="Arial" w:hAnsi="Arial" w:cs="Arial"/>
                <w:sz w:val="20"/>
                <w:szCs w:val="20"/>
              </w:rPr>
              <w:t>Cheong and Martin 2009</w:t>
            </w:r>
            <w:r w:rsidRPr="00F340E1">
              <w:rPr>
                <w:rFonts w:ascii="Arial" w:hAnsi="Arial" w:cs="Arial"/>
                <w:sz w:val="20"/>
                <w:szCs w:val="20"/>
              </w:rPr>
              <w:t>）</w:t>
            </w:r>
          </w:p>
        </w:tc>
      </w:tr>
      <w:tr w:rsidR="00D908E8" w:rsidRPr="00F340E1" w14:paraId="27A2E7EF" w14:textId="77777777" w:rsidTr="00F340E1">
        <w:tc>
          <w:tcPr>
            <w:tcW w:w="0" w:type="auto"/>
            <w:vMerge/>
            <w:vAlign w:val="center"/>
            <w:hideMark/>
          </w:tcPr>
          <w:p w14:paraId="32B9D9C5" w14:textId="77777777" w:rsidR="00D908E8" w:rsidRPr="00F340E1" w:rsidRDefault="00D908E8">
            <w:pPr>
              <w:widowControl/>
              <w:jc w:val="left"/>
              <w:rPr>
                <w:rFonts w:ascii="Arial" w:hAnsi="Arial" w:cs="Arial"/>
                <w:sz w:val="20"/>
                <w:szCs w:val="20"/>
              </w:rPr>
            </w:pPr>
          </w:p>
        </w:tc>
        <w:tc>
          <w:tcPr>
            <w:tcW w:w="1892" w:type="dxa"/>
            <w:hideMark/>
          </w:tcPr>
          <w:p w14:paraId="1EE42DF7" w14:textId="77777777" w:rsidR="00D908E8" w:rsidRPr="00F340E1" w:rsidRDefault="00D908E8">
            <w:pPr>
              <w:jc w:val="center"/>
              <w:rPr>
                <w:rFonts w:ascii="Arial" w:hAnsi="Arial" w:cs="Arial"/>
                <w:sz w:val="20"/>
                <w:szCs w:val="20"/>
              </w:rPr>
            </w:pPr>
            <w:r w:rsidRPr="00F340E1">
              <w:rPr>
                <w:rFonts w:ascii="Arial" w:hAnsi="Arial" w:cs="Arial"/>
                <w:sz w:val="20"/>
                <w:szCs w:val="20"/>
              </w:rPr>
              <w:t>Intercultural competence</w:t>
            </w:r>
          </w:p>
        </w:tc>
        <w:tc>
          <w:tcPr>
            <w:tcW w:w="5757" w:type="dxa"/>
            <w:hideMark/>
          </w:tcPr>
          <w:p w14:paraId="32C41694" w14:textId="77777777" w:rsidR="00D908E8" w:rsidRPr="00F340E1" w:rsidRDefault="00D908E8">
            <w:pPr>
              <w:jc w:val="left"/>
              <w:rPr>
                <w:rFonts w:ascii="Arial" w:hAnsi="Arial" w:cs="Arial"/>
                <w:sz w:val="20"/>
                <w:szCs w:val="20"/>
              </w:rPr>
            </w:pPr>
            <w:r w:rsidRPr="00F340E1">
              <w:rPr>
                <w:rFonts w:ascii="Arial" w:hAnsi="Arial" w:cs="Arial"/>
                <w:sz w:val="20"/>
                <w:szCs w:val="20"/>
              </w:rPr>
              <w:t xml:space="preserve">Components of intercultural competence can be understood and applied (for teachers) (Arndt et al. 2021) </w:t>
            </w:r>
          </w:p>
        </w:tc>
      </w:tr>
      <w:tr w:rsidR="00D908E8" w:rsidRPr="00F340E1" w14:paraId="5BC0191E" w14:textId="77777777" w:rsidTr="00F340E1">
        <w:tc>
          <w:tcPr>
            <w:tcW w:w="0" w:type="auto"/>
            <w:vMerge/>
            <w:vAlign w:val="center"/>
            <w:hideMark/>
          </w:tcPr>
          <w:p w14:paraId="2FA89032" w14:textId="77777777" w:rsidR="00D908E8" w:rsidRPr="00F340E1" w:rsidRDefault="00D908E8">
            <w:pPr>
              <w:widowControl/>
              <w:jc w:val="left"/>
              <w:rPr>
                <w:rFonts w:ascii="Arial" w:hAnsi="Arial" w:cs="Arial"/>
                <w:sz w:val="20"/>
                <w:szCs w:val="20"/>
              </w:rPr>
            </w:pPr>
          </w:p>
        </w:tc>
        <w:tc>
          <w:tcPr>
            <w:tcW w:w="1892" w:type="dxa"/>
            <w:vMerge w:val="restart"/>
            <w:hideMark/>
          </w:tcPr>
          <w:p w14:paraId="70B095DE" w14:textId="77777777" w:rsidR="00D908E8" w:rsidRPr="00F340E1" w:rsidRDefault="00D908E8">
            <w:pPr>
              <w:jc w:val="center"/>
              <w:rPr>
                <w:rFonts w:ascii="Arial" w:hAnsi="Arial" w:cs="Arial"/>
                <w:sz w:val="20"/>
                <w:szCs w:val="20"/>
              </w:rPr>
            </w:pPr>
            <w:r w:rsidRPr="00F340E1">
              <w:rPr>
                <w:rFonts w:ascii="Arial" w:hAnsi="Arial" w:cs="Arial"/>
                <w:sz w:val="20"/>
                <w:szCs w:val="20"/>
              </w:rPr>
              <w:t>Motivation</w:t>
            </w:r>
          </w:p>
        </w:tc>
        <w:tc>
          <w:tcPr>
            <w:tcW w:w="5757" w:type="dxa"/>
            <w:hideMark/>
          </w:tcPr>
          <w:p w14:paraId="41725F55" w14:textId="77777777" w:rsidR="00D908E8" w:rsidRPr="00F340E1" w:rsidRDefault="00D908E8">
            <w:pPr>
              <w:jc w:val="left"/>
              <w:rPr>
                <w:rFonts w:ascii="Arial" w:hAnsi="Arial" w:cs="Arial"/>
                <w:sz w:val="20"/>
                <w:szCs w:val="20"/>
              </w:rPr>
            </w:pPr>
            <w:r w:rsidRPr="00F340E1">
              <w:rPr>
                <w:rFonts w:ascii="Arial" w:hAnsi="Arial" w:cs="Arial"/>
                <w:sz w:val="20"/>
                <w:szCs w:val="20"/>
              </w:rPr>
              <w:t>Learners’ interests in cultural diversity (Stefanova and Jiménez 2019); Foreign language learning motivation (Lin and Yang 2015)</w:t>
            </w:r>
          </w:p>
        </w:tc>
      </w:tr>
      <w:tr w:rsidR="00D908E8" w:rsidRPr="00F340E1" w14:paraId="707E7AD5" w14:textId="77777777" w:rsidTr="00F340E1">
        <w:tc>
          <w:tcPr>
            <w:tcW w:w="0" w:type="auto"/>
            <w:vMerge/>
            <w:vAlign w:val="center"/>
            <w:hideMark/>
          </w:tcPr>
          <w:p w14:paraId="73907A8C" w14:textId="77777777" w:rsidR="00D908E8" w:rsidRPr="00F340E1" w:rsidRDefault="00D908E8">
            <w:pPr>
              <w:widowControl/>
              <w:jc w:val="left"/>
              <w:rPr>
                <w:rFonts w:ascii="Arial" w:hAnsi="Arial" w:cs="Arial"/>
                <w:sz w:val="20"/>
                <w:szCs w:val="20"/>
              </w:rPr>
            </w:pPr>
          </w:p>
        </w:tc>
        <w:tc>
          <w:tcPr>
            <w:tcW w:w="0" w:type="auto"/>
            <w:vMerge/>
            <w:vAlign w:val="center"/>
            <w:hideMark/>
          </w:tcPr>
          <w:p w14:paraId="08BA4739" w14:textId="77777777" w:rsidR="00D908E8" w:rsidRPr="00F340E1" w:rsidRDefault="00D908E8">
            <w:pPr>
              <w:widowControl/>
              <w:jc w:val="left"/>
              <w:rPr>
                <w:rFonts w:ascii="Arial" w:hAnsi="Arial" w:cs="Arial"/>
                <w:sz w:val="20"/>
                <w:szCs w:val="20"/>
              </w:rPr>
            </w:pPr>
          </w:p>
        </w:tc>
        <w:tc>
          <w:tcPr>
            <w:tcW w:w="5757" w:type="dxa"/>
            <w:hideMark/>
          </w:tcPr>
          <w:p w14:paraId="6D4AFAA5" w14:textId="71A8293A" w:rsidR="00D908E8" w:rsidRPr="00F340E1" w:rsidRDefault="00D908E8">
            <w:pPr>
              <w:jc w:val="left"/>
              <w:rPr>
                <w:rFonts w:ascii="Arial" w:hAnsi="Arial" w:cs="Arial"/>
                <w:sz w:val="20"/>
                <w:szCs w:val="20"/>
              </w:rPr>
            </w:pPr>
            <w:r w:rsidRPr="00F340E1">
              <w:rPr>
                <w:rFonts w:ascii="Arial" w:hAnsi="Arial" w:cs="Arial"/>
                <w:sz w:val="20"/>
                <w:szCs w:val="20"/>
              </w:rPr>
              <w:t xml:space="preserve">Technology-based education is included </w:t>
            </w:r>
            <w:r w:rsidR="00810EE7" w:rsidRPr="00F340E1">
              <w:rPr>
                <w:rFonts w:ascii="Arial" w:hAnsi="Arial" w:cs="Arial"/>
                <w:sz w:val="20"/>
                <w:szCs w:val="20"/>
              </w:rPr>
              <w:t>by</w:t>
            </w:r>
            <w:r w:rsidRPr="00F340E1">
              <w:rPr>
                <w:rFonts w:ascii="Arial" w:hAnsi="Arial" w:cs="Arial"/>
                <w:sz w:val="20"/>
                <w:szCs w:val="20"/>
              </w:rPr>
              <w:t xml:space="preserve"> Higher education officials (Stefanova and Jiménez 2019)</w:t>
            </w:r>
          </w:p>
        </w:tc>
      </w:tr>
      <w:tr w:rsidR="00D908E8" w:rsidRPr="00F340E1" w14:paraId="644BAF8E" w14:textId="77777777" w:rsidTr="00F340E1">
        <w:tc>
          <w:tcPr>
            <w:tcW w:w="0" w:type="auto"/>
            <w:vMerge/>
            <w:vAlign w:val="center"/>
            <w:hideMark/>
          </w:tcPr>
          <w:p w14:paraId="3F3B36FD" w14:textId="77777777" w:rsidR="00D908E8" w:rsidRPr="00F340E1" w:rsidRDefault="00D908E8">
            <w:pPr>
              <w:widowControl/>
              <w:jc w:val="left"/>
              <w:rPr>
                <w:rFonts w:ascii="Arial" w:hAnsi="Arial" w:cs="Arial"/>
                <w:sz w:val="20"/>
                <w:szCs w:val="20"/>
              </w:rPr>
            </w:pPr>
          </w:p>
        </w:tc>
        <w:tc>
          <w:tcPr>
            <w:tcW w:w="1892" w:type="dxa"/>
            <w:hideMark/>
          </w:tcPr>
          <w:p w14:paraId="5DB95A41" w14:textId="77777777" w:rsidR="00D908E8" w:rsidRPr="00F340E1" w:rsidRDefault="00D908E8">
            <w:pPr>
              <w:jc w:val="center"/>
              <w:rPr>
                <w:rFonts w:ascii="Arial" w:hAnsi="Arial" w:cs="Arial"/>
                <w:sz w:val="20"/>
                <w:szCs w:val="20"/>
              </w:rPr>
            </w:pPr>
            <w:r w:rsidRPr="00F340E1">
              <w:rPr>
                <w:rFonts w:ascii="Arial" w:hAnsi="Arial" w:cs="Arial"/>
                <w:sz w:val="20"/>
                <w:szCs w:val="20"/>
              </w:rPr>
              <w:t>Problem-solving skills</w:t>
            </w:r>
          </w:p>
        </w:tc>
        <w:tc>
          <w:tcPr>
            <w:tcW w:w="5757" w:type="dxa"/>
            <w:hideMark/>
          </w:tcPr>
          <w:p w14:paraId="2AC8615B" w14:textId="77777777" w:rsidR="00D908E8" w:rsidRPr="00F340E1" w:rsidRDefault="00D908E8">
            <w:pPr>
              <w:jc w:val="left"/>
              <w:rPr>
                <w:rFonts w:ascii="Arial" w:hAnsi="Arial" w:cs="Arial"/>
                <w:sz w:val="20"/>
                <w:szCs w:val="20"/>
              </w:rPr>
            </w:pPr>
            <w:r w:rsidRPr="00F340E1">
              <w:rPr>
                <w:rFonts w:ascii="Arial" w:hAnsi="Arial" w:cs="Arial"/>
                <w:sz w:val="20"/>
                <w:szCs w:val="20"/>
              </w:rPr>
              <w:t>Introduction and simple application of design methods (Van Boeijen 2016)</w:t>
            </w:r>
          </w:p>
        </w:tc>
      </w:tr>
    </w:tbl>
    <w:p w14:paraId="53194AC2" w14:textId="77777777" w:rsidR="007A2839" w:rsidRDefault="007A2839" w:rsidP="007A2839">
      <w:pPr>
        <w:rPr>
          <w:rFonts w:ascii="Arial" w:hAnsi="Arial" w:cs="Arial"/>
          <w:kern w:val="0"/>
          <w:sz w:val="20"/>
          <w:szCs w:val="20"/>
          <w:lang w:val="en-GB"/>
        </w:rPr>
      </w:pPr>
    </w:p>
    <w:p w14:paraId="09487E4B" w14:textId="0BAEFC7F" w:rsidR="00D908E8" w:rsidRPr="00F340E1" w:rsidRDefault="00D908E8" w:rsidP="007A2839">
      <w:pPr>
        <w:rPr>
          <w:rFonts w:ascii="Arial" w:eastAsia="Times New Roman" w:hAnsi="Arial" w:cs="Arial"/>
          <w:kern w:val="0"/>
          <w:sz w:val="20"/>
          <w:szCs w:val="20"/>
          <w:lang w:val="en-GB" w:eastAsia="en-GB"/>
        </w:rPr>
      </w:pPr>
      <w:r w:rsidRPr="00F340E1">
        <w:rPr>
          <w:rFonts w:ascii="Arial" w:eastAsia="Times New Roman" w:hAnsi="Arial" w:cs="Arial"/>
          <w:kern w:val="0"/>
          <w:sz w:val="20"/>
          <w:szCs w:val="20"/>
          <w:lang w:val="en-GB" w:eastAsia="en-GB"/>
        </w:rPr>
        <w:t xml:space="preserve">Table </w:t>
      </w:r>
      <w:r w:rsidR="007A2839">
        <w:rPr>
          <w:rFonts w:ascii="Arial" w:eastAsia="Times New Roman" w:hAnsi="Arial" w:cs="Arial"/>
          <w:kern w:val="0"/>
          <w:sz w:val="20"/>
          <w:szCs w:val="20"/>
          <w:lang w:val="en-GB" w:eastAsia="en-GB"/>
        </w:rPr>
        <w:t>5</w:t>
      </w:r>
      <w:r w:rsidRPr="00F340E1">
        <w:rPr>
          <w:rFonts w:ascii="Arial" w:eastAsia="Times New Roman" w:hAnsi="Arial" w:cs="Arial"/>
          <w:kern w:val="0"/>
          <w:sz w:val="20"/>
          <w:szCs w:val="20"/>
          <w:lang w:val="en-GB" w:eastAsia="en-GB"/>
        </w:rPr>
        <w:t xml:space="preserve">. </w:t>
      </w:r>
      <w:r w:rsidR="007A2839">
        <w:rPr>
          <w:rFonts w:ascii="Arial" w:eastAsia="Times New Roman" w:hAnsi="Arial" w:cs="Arial"/>
          <w:kern w:val="0"/>
          <w:sz w:val="20"/>
          <w:szCs w:val="20"/>
          <w:lang w:val="en-GB" w:eastAsia="en-GB"/>
        </w:rPr>
        <w:t>Outcomes</w:t>
      </w:r>
    </w:p>
    <w:tbl>
      <w:tblPr>
        <w:tblStyle w:val="aa"/>
        <w:tblW w:w="9209" w:type="dxa"/>
        <w:tblLook w:val="04A0" w:firstRow="1" w:lastRow="0" w:firstColumn="1" w:lastColumn="0" w:noHBand="0" w:noVBand="1"/>
      </w:tblPr>
      <w:tblGrid>
        <w:gridCol w:w="1560"/>
        <w:gridCol w:w="1892"/>
        <w:gridCol w:w="5757"/>
      </w:tblGrid>
      <w:tr w:rsidR="00D908E8" w:rsidRPr="00F340E1" w14:paraId="3CB3E18D" w14:textId="77777777" w:rsidTr="00F340E1">
        <w:tc>
          <w:tcPr>
            <w:tcW w:w="1560" w:type="dxa"/>
            <w:hideMark/>
          </w:tcPr>
          <w:p w14:paraId="3B4A8B3D" w14:textId="77777777" w:rsidR="00D908E8" w:rsidRPr="00F340E1" w:rsidRDefault="00D908E8">
            <w:pPr>
              <w:jc w:val="center"/>
              <w:rPr>
                <w:rFonts w:ascii="Arial" w:hAnsi="Arial" w:cs="Arial"/>
                <w:sz w:val="20"/>
                <w:szCs w:val="20"/>
              </w:rPr>
            </w:pPr>
            <w:r w:rsidRPr="00F340E1">
              <w:rPr>
                <w:rFonts w:ascii="Arial" w:hAnsi="Arial" w:cs="Arial"/>
                <w:sz w:val="20"/>
                <w:szCs w:val="20"/>
              </w:rPr>
              <w:t>Elements in AT</w:t>
            </w:r>
          </w:p>
        </w:tc>
        <w:tc>
          <w:tcPr>
            <w:tcW w:w="1892" w:type="dxa"/>
            <w:hideMark/>
          </w:tcPr>
          <w:p w14:paraId="35CC86D1" w14:textId="77777777" w:rsidR="00D908E8" w:rsidRPr="00F340E1" w:rsidRDefault="00D908E8">
            <w:pPr>
              <w:jc w:val="center"/>
              <w:rPr>
                <w:rFonts w:ascii="Arial" w:hAnsi="Arial" w:cs="Arial"/>
                <w:sz w:val="20"/>
                <w:szCs w:val="20"/>
              </w:rPr>
            </w:pPr>
            <w:r w:rsidRPr="00F340E1">
              <w:rPr>
                <w:rFonts w:ascii="Arial" w:hAnsi="Arial" w:cs="Arial"/>
                <w:sz w:val="20"/>
                <w:szCs w:val="20"/>
              </w:rPr>
              <w:t>Sub-elements</w:t>
            </w:r>
          </w:p>
        </w:tc>
        <w:tc>
          <w:tcPr>
            <w:tcW w:w="5757" w:type="dxa"/>
            <w:hideMark/>
          </w:tcPr>
          <w:p w14:paraId="025CC9BC" w14:textId="77777777" w:rsidR="00D908E8" w:rsidRPr="00F340E1" w:rsidRDefault="00D908E8">
            <w:pPr>
              <w:jc w:val="center"/>
              <w:rPr>
                <w:rFonts w:ascii="Arial" w:hAnsi="Arial" w:cs="Arial"/>
                <w:sz w:val="20"/>
                <w:szCs w:val="20"/>
              </w:rPr>
            </w:pPr>
            <w:r w:rsidRPr="00F340E1">
              <w:rPr>
                <w:rFonts w:ascii="Arial" w:hAnsi="Arial" w:cs="Arial"/>
                <w:sz w:val="20"/>
                <w:szCs w:val="20"/>
              </w:rPr>
              <w:t>Items</w:t>
            </w:r>
          </w:p>
        </w:tc>
      </w:tr>
      <w:tr w:rsidR="00D908E8" w:rsidRPr="00F340E1" w14:paraId="3D6A8DEA" w14:textId="77777777" w:rsidTr="00F340E1">
        <w:tc>
          <w:tcPr>
            <w:tcW w:w="1560" w:type="dxa"/>
            <w:vMerge w:val="restart"/>
            <w:hideMark/>
          </w:tcPr>
          <w:p w14:paraId="5BE0B72A" w14:textId="77777777" w:rsidR="00D908E8" w:rsidRPr="00F340E1" w:rsidRDefault="00D908E8">
            <w:pPr>
              <w:jc w:val="center"/>
              <w:rPr>
                <w:rFonts w:ascii="Arial" w:hAnsi="Arial" w:cs="Arial"/>
                <w:sz w:val="20"/>
                <w:szCs w:val="20"/>
              </w:rPr>
            </w:pPr>
            <w:r w:rsidRPr="00F340E1">
              <w:rPr>
                <w:rFonts w:ascii="Arial" w:hAnsi="Arial" w:cs="Arial"/>
                <w:sz w:val="20"/>
                <w:szCs w:val="20"/>
              </w:rPr>
              <w:t>Outcomes (Learning outcomes)</w:t>
            </w:r>
          </w:p>
        </w:tc>
        <w:tc>
          <w:tcPr>
            <w:tcW w:w="1892" w:type="dxa"/>
            <w:hideMark/>
          </w:tcPr>
          <w:p w14:paraId="56DFA80A" w14:textId="77777777" w:rsidR="00D908E8" w:rsidRPr="00F340E1" w:rsidRDefault="00D908E8">
            <w:pPr>
              <w:jc w:val="center"/>
              <w:rPr>
                <w:rFonts w:ascii="Arial" w:hAnsi="Arial" w:cs="Arial"/>
                <w:sz w:val="20"/>
                <w:szCs w:val="20"/>
              </w:rPr>
            </w:pPr>
            <w:r w:rsidRPr="00F340E1">
              <w:rPr>
                <w:rFonts w:ascii="Arial" w:hAnsi="Arial" w:cs="Arial"/>
                <w:sz w:val="20"/>
                <w:szCs w:val="20"/>
              </w:rPr>
              <w:t>Learning performance</w:t>
            </w:r>
          </w:p>
        </w:tc>
        <w:tc>
          <w:tcPr>
            <w:tcW w:w="5757" w:type="dxa"/>
            <w:hideMark/>
          </w:tcPr>
          <w:p w14:paraId="5D3E630B" w14:textId="77777777" w:rsidR="00D908E8" w:rsidRPr="00F340E1" w:rsidRDefault="00D908E8">
            <w:pPr>
              <w:jc w:val="left"/>
              <w:rPr>
                <w:rFonts w:ascii="Arial" w:hAnsi="Arial" w:cs="Arial"/>
                <w:sz w:val="20"/>
                <w:szCs w:val="20"/>
              </w:rPr>
            </w:pPr>
            <w:r w:rsidRPr="00F340E1">
              <w:rPr>
                <w:rFonts w:ascii="Arial" w:hAnsi="Arial" w:cs="Arial"/>
                <w:sz w:val="20"/>
                <w:szCs w:val="20"/>
              </w:rPr>
              <w:t>Motivation (Lin and Yang 2015); Cross-cultural competence (Lin and Yang 2015; Arndt et al. 2021); Team cohesion (Rubin 2009; Stefanova and Jiménez 2019); Skills at problem-solving (Rubin 2009; Stefanova and Jiménez 2019; Van Boeijen 2016); Teachers’ skills at feedback-giving (Rubin 2009); Distance work skills (Stefanova and Jiménez 2019); Social and interpersonal skills (Stefanova and Jiménez 2019); Deep understanding of diversity in education (</w:t>
            </w:r>
            <w:r w:rsidRPr="00F340E1">
              <w:rPr>
                <w:rFonts w:ascii="Arial" w:hAnsi="Arial" w:cs="Arial"/>
                <w:sz w:val="20"/>
                <w:szCs w:val="20"/>
                <w:lang w:val="en-GB"/>
              </w:rPr>
              <w:t>Leh, Grau, and Guiseppe 2015</w:t>
            </w:r>
            <w:r w:rsidRPr="00F340E1">
              <w:rPr>
                <w:rFonts w:ascii="Arial" w:hAnsi="Arial" w:cs="Arial"/>
                <w:sz w:val="20"/>
                <w:szCs w:val="20"/>
              </w:rPr>
              <w:t xml:space="preserve">); Different types of visualization forms in discussion (Quan and Gu 2018); Self-awareness (King Ramirez 2020) </w:t>
            </w:r>
          </w:p>
        </w:tc>
      </w:tr>
      <w:tr w:rsidR="00D908E8" w:rsidRPr="00F340E1" w14:paraId="1EADA04F" w14:textId="77777777" w:rsidTr="00F340E1">
        <w:tc>
          <w:tcPr>
            <w:tcW w:w="0" w:type="auto"/>
            <w:vMerge/>
            <w:vAlign w:val="center"/>
            <w:hideMark/>
          </w:tcPr>
          <w:p w14:paraId="3BD31995" w14:textId="77777777" w:rsidR="00D908E8" w:rsidRPr="00F340E1" w:rsidRDefault="00D908E8">
            <w:pPr>
              <w:widowControl/>
              <w:jc w:val="left"/>
              <w:rPr>
                <w:rFonts w:ascii="Arial" w:hAnsi="Arial" w:cs="Arial"/>
                <w:sz w:val="20"/>
                <w:szCs w:val="20"/>
              </w:rPr>
            </w:pPr>
          </w:p>
        </w:tc>
        <w:tc>
          <w:tcPr>
            <w:tcW w:w="1892" w:type="dxa"/>
            <w:hideMark/>
          </w:tcPr>
          <w:p w14:paraId="2C893F39" w14:textId="77777777" w:rsidR="00D908E8" w:rsidRPr="00F340E1" w:rsidRDefault="00D908E8">
            <w:pPr>
              <w:wordWrap w:val="0"/>
              <w:jc w:val="center"/>
              <w:rPr>
                <w:rFonts w:ascii="Arial" w:hAnsi="Arial" w:cs="Arial"/>
                <w:sz w:val="20"/>
                <w:szCs w:val="20"/>
              </w:rPr>
            </w:pPr>
            <w:r w:rsidRPr="00F340E1">
              <w:rPr>
                <w:rFonts w:ascii="Arial" w:hAnsi="Arial" w:cs="Arial"/>
                <w:sz w:val="20"/>
                <w:szCs w:val="20"/>
              </w:rPr>
              <w:t xml:space="preserve">Learning </w:t>
            </w:r>
          </w:p>
          <w:p w14:paraId="284B3C3C" w14:textId="77777777" w:rsidR="00D908E8" w:rsidRPr="00F340E1" w:rsidRDefault="00D908E8">
            <w:pPr>
              <w:wordWrap w:val="0"/>
              <w:jc w:val="center"/>
              <w:rPr>
                <w:rFonts w:ascii="Arial" w:hAnsi="Arial" w:cs="Arial"/>
                <w:sz w:val="20"/>
                <w:szCs w:val="20"/>
              </w:rPr>
            </w:pPr>
            <w:r w:rsidRPr="00F340E1">
              <w:rPr>
                <w:rFonts w:ascii="Arial" w:hAnsi="Arial" w:cs="Arial"/>
                <w:sz w:val="20"/>
                <w:szCs w:val="20"/>
              </w:rPr>
              <w:t>measurement</w:t>
            </w:r>
          </w:p>
        </w:tc>
        <w:tc>
          <w:tcPr>
            <w:tcW w:w="5757" w:type="dxa"/>
            <w:hideMark/>
          </w:tcPr>
          <w:p w14:paraId="69528B0F" w14:textId="77777777" w:rsidR="00D908E8" w:rsidRPr="00F340E1" w:rsidRDefault="00D908E8">
            <w:pPr>
              <w:jc w:val="left"/>
              <w:rPr>
                <w:rFonts w:ascii="Arial" w:hAnsi="Arial" w:cs="Arial"/>
                <w:sz w:val="20"/>
                <w:szCs w:val="20"/>
              </w:rPr>
            </w:pPr>
            <w:r w:rsidRPr="00F340E1">
              <w:rPr>
                <w:rFonts w:ascii="Arial" w:hAnsi="Arial" w:cs="Arial"/>
                <w:sz w:val="20"/>
                <w:szCs w:val="20"/>
              </w:rPr>
              <w:t>Discussion posts (Cheong and Martin 2009; Yang, Olesova, and Richardson 2010); Peer assessment and/or self-assessment (Cheong and Martin 2009; Rubin 2009); Reflective tasks (</w:t>
            </w:r>
            <w:r w:rsidRPr="00F340E1">
              <w:rPr>
                <w:rFonts w:ascii="Arial" w:hAnsi="Arial" w:cs="Arial"/>
                <w:sz w:val="20"/>
                <w:szCs w:val="20"/>
                <w:lang w:val="en-GB"/>
              </w:rPr>
              <w:t>Leh, Grau, and Guiseppe 2015;</w:t>
            </w:r>
            <w:r w:rsidRPr="00F340E1">
              <w:rPr>
                <w:rFonts w:ascii="Arial" w:hAnsi="Arial" w:cs="Arial"/>
                <w:sz w:val="20"/>
                <w:szCs w:val="20"/>
              </w:rPr>
              <w:t xml:space="preserve"> Stefanova and Jiménez 2019); Pre-and post-assessment (Park and Wen 2016; King Ramirez 2020); Task presentation (Quan and Gu 2018; </w:t>
            </w:r>
            <w:r w:rsidRPr="00F340E1">
              <w:rPr>
                <w:rFonts w:ascii="Arial" w:hAnsi="Arial" w:cs="Arial"/>
                <w:sz w:val="20"/>
                <w:szCs w:val="20"/>
                <w:lang w:val="en-GB"/>
              </w:rPr>
              <w:t>Gu, Wang, and Mason 2017</w:t>
            </w:r>
            <w:r w:rsidRPr="00F340E1">
              <w:rPr>
                <w:rFonts w:ascii="Arial" w:hAnsi="Arial" w:cs="Arial"/>
                <w:sz w:val="20"/>
                <w:szCs w:val="20"/>
              </w:rPr>
              <w:t>)</w:t>
            </w:r>
          </w:p>
        </w:tc>
      </w:tr>
    </w:tbl>
    <w:p w14:paraId="553D0F8D" w14:textId="77777777" w:rsidR="007A2839" w:rsidRDefault="007A2839" w:rsidP="008B1CDD">
      <w:pPr>
        <w:rPr>
          <w:rFonts w:ascii="Arial" w:eastAsia="Times New Roman" w:hAnsi="Arial" w:cs="Arial"/>
          <w:kern w:val="0"/>
          <w:sz w:val="20"/>
          <w:szCs w:val="20"/>
          <w:lang w:val="en-GB" w:eastAsia="en-GB"/>
        </w:rPr>
      </w:pPr>
    </w:p>
    <w:p w14:paraId="2E4A23B9" w14:textId="0C55DE47" w:rsidR="008B1CDD" w:rsidRPr="00F340E1" w:rsidRDefault="008B1CDD" w:rsidP="008B1CDD">
      <w:pPr>
        <w:rPr>
          <w:rFonts w:ascii="Arial" w:eastAsia="Times New Roman" w:hAnsi="Arial" w:cs="Arial"/>
          <w:kern w:val="0"/>
          <w:sz w:val="20"/>
          <w:szCs w:val="20"/>
          <w:lang w:val="en-GB" w:eastAsia="en-GB"/>
        </w:rPr>
      </w:pPr>
      <w:r w:rsidRPr="00F340E1">
        <w:rPr>
          <w:rFonts w:ascii="Arial" w:eastAsia="Times New Roman" w:hAnsi="Arial" w:cs="Arial"/>
          <w:kern w:val="0"/>
          <w:sz w:val="20"/>
          <w:szCs w:val="20"/>
          <w:lang w:val="en-GB" w:eastAsia="en-GB"/>
        </w:rPr>
        <w:t xml:space="preserve">Table </w:t>
      </w:r>
      <w:r w:rsidR="007A2839">
        <w:rPr>
          <w:rFonts w:ascii="Arial" w:eastAsia="Times New Roman" w:hAnsi="Arial" w:cs="Arial"/>
          <w:kern w:val="0"/>
          <w:sz w:val="20"/>
          <w:szCs w:val="20"/>
          <w:lang w:val="en-GB" w:eastAsia="en-GB"/>
        </w:rPr>
        <w:t>6</w:t>
      </w:r>
      <w:r w:rsidRPr="00F340E1">
        <w:rPr>
          <w:rFonts w:ascii="Arial" w:eastAsia="Times New Roman" w:hAnsi="Arial" w:cs="Arial"/>
          <w:kern w:val="0"/>
          <w:sz w:val="20"/>
          <w:szCs w:val="20"/>
          <w:lang w:val="en-GB" w:eastAsia="en-GB"/>
        </w:rPr>
        <w:t xml:space="preserve">. </w:t>
      </w:r>
      <w:r w:rsidR="007A2839">
        <w:rPr>
          <w:rFonts w:ascii="Arial" w:eastAsia="Times New Roman" w:hAnsi="Arial" w:cs="Arial"/>
          <w:kern w:val="0"/>
          <w:sz w:val="20"/>
          <w:szCs w:val="20"/>
          <w:lang w:val="en-GB" w:eastAsia="en-GB"/>
        </w:rPr>
        <w:t>Tools</w:t>
      </w:r>
    </w:p>
    <w:tbl>
      <w:tblPr>
        <w:tblStyle w:val="aa"/>
        <w:tblW w:w="9209" w:type="dxa"/>
        <w:tblLook w:val="04A0" w:firstRow="1" w:lastRow="0" w:firstColumn="1" w:lastColumn="0" w:noHBand="0" w:noVBand="1"/>
      </w:tblPr>
      <w:tblGrid>
        <w:gridCol w:w="1560"/>
        <w:gridCol w:w="1892"/>
        <w:gridCol w:w="5757"/>
      </w:tblGrid>
      <w:tr w:rsidR="008B1CDD" w:rsidRPr="00F340E1" w14:paraId="28039B1D" w14:textId="77777777" w:rsidTr="00F340E1">
        <w:tc>
          <w:tcPr>
            <w:tcW w:w="1560" w:type="dxa"/>
            <w:hideMark/>
          </w:tcPr>
          <w:p w14:paraId="00FEC958" w14:textId="77777777" w:rsidR="008B1CDD" w:rsidRPr="00F340E1" w:rsidRDefault="008B1CDD">
            <w:pPr>
              <w:jc w:val="center"/>
              <w:rPr>
                <w:rFonts w:ascii="Arial" w:hAnsi="Arial" w:cs="Arial"/>
                <w:sz w:val="20"/>
                <w:szCs w:val="20"/>
              </w:rPr>
            </w:pPr>
            <w:r w:rsidRPr="00F340E1">
              <w:rPr>
                <w:rFonts w:ascii="Arial" w:hAnsi="Arial" w:cs="Arial"/>
                <w:sz w:val="20"/>
                <w:szCs w:val="20"/>
              </w:rPr>
              <w:t>Elements in AT</w:t>
            </w:r>
          </w:p>
        </w:tc>
        <w:tc>
          <w:tcPr>
            <w:tcW w:w="1892" w:type="dxa"/>
            <w:hideMark/>
          </w:tcPr>
          <w:p w14:paraId="497EEA51" w14:textId="77777777" w:rsidR="008B1CDD" w:rsidRPr="00F340E1" w:rsidRDefault="008B1CDD">
            <w:pPr>
              <w:jc w:val="center"/>
              <w:rPr>
                <w:rFonts w:ascii="Arial" w:hAnsi="Arial" w:cs="Arial"/>
                <w:sz w:val="20"/>
                <w:szCs w:val="20"/>
              </w:rPr>
            </w:pPr>
            <w:r w:rsidRPr="00F340E1">
              <w:rPr>
                <w:rFonts w:ascii="Arial" w:hAnsi="Arial" w:cs="Arial"/>
                <w:sz w:val="20"/>
                <w:szCs w:val="20"/>
              </w:rPr>
              <w:t>Sub-elements</w:t>
            </w:r>
          </w:p>
        </w:tc>
        <w:tc>
          <w:tcPr>
            <w:tcW w:w="5757" w:type="dxa"/>
            <w:hideMark/>
          </w:tcPr>
          <w:p w14:paraId="24F00BDB" w14:textId="77777777" w:rsidR="008B1CDD" w:rsidRPr="00F340E1" w:rsidRDefault="008B1CDD">
            <w:pPr>
              <w:jc w:val="center"/>
              <w:rPr>
                <w:rFonts w:ascii="Arial" w:hAnsi="Arial" w:cs="Arial"/>
                <w:sz w:val="20"/>
                <w:szCs w:val="20"/>
              </w:rPr>
            </w:pPr>
            <w:r w:rsidRPr="00F340E1">
              <w:rPr>
                <w:rFonts w:ascii="Arial" w:hAnsi="Arial" w:cs="Arial"/>
                <w:sz w:val="20"/>
                <w:szCs w:val="20"/>
              </w:rPr>
              <w:t>Items</w:t>
            </w:r>
          </w:p>
        </w:tc>
      </w:tr>
      <w:tr w:rsidR="008B1CDD" w:rsidRPr="00F340E1" w14:paraId="0C75D6B3" w14:textId="77777777" w:rsidTr="00F340E1">
        <w:tc>
          <w:tcPr>
            <w:tcW w:w="1560" w:type="dxa"/>
            <w:vMerge w:val="restart"/>
            <w:hideMark/>
          </w:tcPr>
          <w:p w14:paraId="2D62771C" w14:textId="77777777" w:rsidR="008B1CDD" w:rsidRPr="00F340E1" w:rsidRDefault="008B1CDD">
            <w:pPr>
              <w:jc w:val="center"/>
              <w:rPr>
                <w:rFonts w:ascii="Arial" w:hAnsi="Arial" w:cs="Arial"/>
                <w:sz w:val="20"/>
                <w:szCs w:val="20"/>
              </w:rPr>
            </w:pPr>
            <w:r w:rsidRPr="00F340E1">
              <w:rPr>
                <w:rFonts w:ascii="Arial" w:hAnsi="Arial" w:cs="Arial"/>
                <w:sz w:val="20"/>
                <w:szCs w:val="20"/>
              </w:rPr>
              <w:t>Tools</w:t>
            </w:r>
          </w:p>
        </w:tc>
        <w:tc>
          <w:tcPr>
            <w:tcW w:w="1892" w:type="dxa"/>
            <w:hideMark/>
          </w:tcPr>
          <w:p w14:paraId="35804344" w14:textId="77777777" w:rsidR="008B1CDD" w:rsidRPr="00F340E1" w:rsidRDefault="008B1CDD">
            <w:pPr>
              <w:jc w:val="center"/>
              <w:rPr>
                <w:rFonts w:ascii="Arial" w:hAnsi="Arial" w:cs="Arial"/>
                <w:sz w:val="20"/>
                <w:szCs w:val="20"/>
              </w:rPr>
            </w:pPr>
            <w:r w:rsidRPr="00F340E1">
              <w:rPr>
                <w:rFonts w:ascii="Arial" w:hAnsi="Arial" w:cs="Arial"/>
                <w:sz w:val="20"/>
                <w:szCs w:val="20"/>
              </w:rPr>
              <w:t>Learning management system</w:t>
            </w:r>
          </w:p>
        </w:tc>
        <w:tc>
          <w:tcPr>
            <w:tcW w:w="5757" w:type="dxa"/>
            <w:hideMark/>
          </w:tcPr>
          <w:p w14:paraId="14A1563B" w14:textId="77777777" w:rsidR="008B1CDD" w:rsidRPr="00F340E1" w:rsidRDefault="008B1CDD">
            <w:pPr>
              <w:jc w:val="left"/>
              <w:rPr>
                <w:rFonts w:ascii="Arial" w:hAnsi="Arial" w:cs="Arial"/>
                <w:sz w:val="20"/>
                <w:szCs w:val="20"/>
              </w:rPr>
            </w:pPr>
            <w:r w:rsidRPr="00F340E1">
              <w:rPr>
                <w:rFonts w:ascii="Arial" w:hAnsi="Arial" w:cs="Arial"/>
                <w:sz w:val="20"/>
                <w:szCs w:val="20"/>
              </w:rPr>
              <w:t xml:space="preserve">WebCT Vista (Yang, Olesova, and Richardson 2010); edX platform (Van Boeijen 2016); Canvas (Arndt et al. 2021; King Ramirez 2020); Foreign language learning digital games (Park and Wen 2016) </w:t>
            </w:r>
          </w:p>
        </w:tc>
      </w:tr>
      <w:tr w:rsidR="008B1CDD" w:rsidRPr="00F340E1" w14:paraId="5D8DDFD0" w14:textId="77777777" w:rsidTr="00F340E1">
        <w:tc>
          <w:tcPr>
            <w:tcW w:w="0" w:type="auto"/>
            <w:vMerge/>
            <w:vAlign w:val="center"/>
            <w:hideMark/>
          </w:tcPr>
          <w:p w14:paraId="1FBA4C86" w14:textId="77777777" w:rsidR="008B1CDD" w:rsidRPr="00F340E1" w:rsidRDefault="008B1CDD">
            <w:pPr>
              <w:widowControl/>
              <w:jc w:val="left"/>
              <w:rPr>
                <w:rFonts w:ascii="Arial" w:hAnsi="Arial" w:cs="Arial"/>
                <w:sz w:val="20"/>
                <w:szCs w:val="20"/>
              </w:rPr>
            </w:pPr>
          </w:p>
        </w:tc>
        <w:tc>
          <w:tcPr>
            <w:tcW w:w="1892" w:type="dxa"/>
            <w:hideMark/>
          </w:tcPr>
          <w:p w14:paraId="49166CB2" w14:textId="77777777" w:rsidR="008B1CDD" w:rsidRPr="00F340E1" w:rsidRDefault="008B1CDD">
            <w:pPr>
              <w:jc w:val="center"/>
              <w:rPr>
                <w:rFonts w:ascii="Arial" w:hAnsi="Arial" w:cs="Arial"/>
                <w:sz w:val="20"/>
                <w:szCs w:val="20"/>
              </w:rPr>
            </w:pPr>
            <w:r w:rsidRPr="00F340E1">
              <w:rPr>
                <w:rFonts w:ascii="Arial" w:hAnsi="Arial" w:cs="Arial"/>
                <w:sz w:val="20"/>
                <w:szCs w:val="20"/>
              </w:rPr>
              <w:t>Communication tools</w:t>
            </w:r>
          </w:p>
        </w:tc>
        <w:tc>
          <w:tcPr>
            <w:tcW w:w="5757" w:type="dxa"/>
            <w:hideMark/>
          </w:tcPr>
          <w:p w14:paraId="7C54D575" w14:textId="77777777" w:rsidR="008B1CDD" w:rsidRPr="00F340E1" w:rsidRDefault="008B1CDD">
            <w:pPr>
              <w:tabs>
                <w:tab w:val="left" w:pos="1075"/>
              </w:tabs>
              <w:jc w:val="left"/>
              <w:rPr>
                <w:rFonts w:ascii="Arial" w:hAnsi="Arial" w:cs="Arial"/>
                <w:sz w:val="20"/>
                <w:szCs w:val="20"/>
              </w:rPr>
            </w:pPr>
            <w:r w:rsidRPr="00F340E1">
              <w:rPr>
                <w:rFonts w:ascii="Arial" w:hAnsi="Arial" w:cs="Arial"/>
                <w:sz w:val="20"/>
                <w:szCs w:val="20"/>
              </w:rPr>
              <w:t xml:space="preserve">Synchronous HomeMeeting interactive online conference system integrated with Facebook (Lin and Yang 2015); Skype, </w:t>
            </w:r>
            <w:r w:rsidRPr="00F340E1">
              <w:rPr>
                <w:rFonts w:ascii="Arial" w:hAnsi="Arial" w:cs="Arial"/>
                <w:sz w:val="20"/>
                <w:szCs w:val="20"/>
              </w:rPr>
              <w:lastRenderedPageBreak/>
              <w:t>WhatsApp, and a dedicated Facebook group (Stefanova and Jiménez 2019); MindManager and XMind (two visualization tools) (Quan and Gu 2018); Google docs, international phone calls, and video conferences (King Ramirez 2020); Email and Skype (</w:t>
            </w:r>
            <w:r w:rsidRPr="00F340E1">
              <w:rPr>
                <w:rFonts w:ascii="Arial" w:hAnsi="Arial" w:cs="Arial"/>
                <w:sz w:val="20"/>
                <w:szCs w:val="20"/>
                <w:lang w:val="en-GB"/>
              </w:rPr>
              <w:t>Gu, Wang, and Mason 2017</w:t>
            </w:r>
            <w:r w:rsidRPr="00F340E1">
              <w:rPr>
                <w:rFonts w:ascii="Arial" w:hAnsi="Arial" w:cs="Arial"/>
                <w:sz w:val="20"/>
                <w:szCs w:val="20"/>
              </w:rPr>
              <w:t>); Online course and teleconference call (Rubin 2009)</w:t>
            </w:r>
          </w:p>
        </w:tc>
      </w:tr>
    </w:tbl>
    <w:p w14:paraId="344B465F" w14:textId="77777777" w:rsidR="007A2839" w:rsidRDefault="007A2839" w:rsidP="008B1CDD">
      <w:pPr>
        <w:rPr>
          <w:rFonts w:ascii="Arial" w:eastAsia="Times New Roman" w:hAnsi="Arial" w:cs="Arial"/>
          <w:kern w:val="0"/>
          <w:sz w:val="20"/>
          <w:szCs w:val="20"/>
          <w:lang w:val="en-GB" w:eastAsia="en-GB"/>
        </w:rPr>
      </w:pPr>
    </w:p>
    <w:p w14:paraId="02906ACA" w14:textId="228A722F" w:rsidR="008B1CDD" w:rsidRPr="00F340E1" w:rsidRDefault="008B1CDD" w:rsidP="008B1CDD">
      <w:pPr>
        <w:rPr>
          <w:rFonts w:ascii="Arial" w:eastAsia="Times New Roman" w:hAnsi="Arial" w:cs="Arial"/>
          <w:kern w:val="0"/>
          <w:sz w:val="20"/>
          <w:szCs w:val="20"/>
          <w:lang w:val="en-GB" w:eastAsia="en-GB"/>
        </w:rPr>
      </w:pPr>
      <w:r w:rsidRPr="00F340E1">
        <w:rPr>
          <w:rFonts w:ascii="Arial" w:eastAsia="Times New Roman" w:hAnsi="Arial" w:cs="Arial"/>
          <w:kern w:val="0"/>
          <w:sz w:val="20"/>
          <w:szCs w:val="20"/>
          <w:lang w:val="en-GB" w:eastAsia="en-GB"/>
        </w:rPr>
        <w:t xml:space="preserve">Table </w:t>
      </w:r>
      <w:r w:rsidR="007A2839">
        <w:rPr>
          <w:rFonts w:ascii="Arial" w:eastAsia="Times New Roman" w:hAnsi="Arial" w:cs="Arial"/>
          <w:kern w:val="0"/>
          <w:sz w:val="20"/>
          <w:szCs w:val="20"/>
          <w:lang w:val="en-GB" w:eastAsia="en-GB"/>
        </w:rPr>
        <w:t>7</w:t>
      </w:r>
      <w:r w:rsidRPr="00F340E1">
        <w:rPr>
          <w:rFonts w:ascii="Arial" w:eastAsia="Times New Roman" w:hAnsi="Arial" w:cs="Arial"/>
          <w:kern w:val="0"/>
          <w:sz w:val="20"/>
          <w:szCs w:val="20"/>
          <w:lang w:val="en-GB" w:eastAsia="en-GB"/>
        </w:rPr>
        <w:t xml:space="preserve">. </w:t>
      </w:r>
      <w:r w:rsidR="007A2839">
        <w:rPr>
          <w:rFonts w:ascii="Arial" w:eastAsia="Times New Roman" w:hAnsi="Arial" w:cs="Arial"/>
          <w:kern w:val="0"/>
          <w:sz w:val="20"/>
          <w:szCs w:val="20"/>
          <w:lang w:val="en-GB" w:eastAsia="en-GB"/>
        </w:rPr>
        <w:t>Rules</w:t>
      </w:r>
    </w:p>
    <w:tbl>
      <w:tblPr>
        <w:tblStyle w:val="aa"/>
        <w:tblW w:w="9209" w:type="dxa"/>
        <w:tblLook w:val="04A0" w:firstRow="1" w:lastRow="0" w:firstColumn="1" w:lastColumn="0" w:noHBand="0" w:noVBand="1"/>
      </w:tblPr>
      <w:tblGrid>
        <w:gridCol w:w="1560"/>
        <w:gridCol w:w="1892"/>
        <w:gridCol w:w="5757"/>
      </w:tblGrid>
      <w:tr w:rsidR="008B1CDD" w:rsidRPr="00F340E1" w14:paraId="3D7A6DFD" w14:textId="77777777" w:rsidTr="00F340E1">
        <w:trPr>
          <w:trHeight w:val="467"/>
        </w:trPr>
        <w:tc>
          <w:tcPr>
            <w:tcW w:w="1560" w:type="dxa"/>
            <w:hideMark/>
          </w:tcPr>
          <w:p w14:paraId="32341C1C" w14:textId="77777777" w:rsidR="008B1CDD" w:rsidRPr="00F340E1" w:rsidRDefault="008B1CDD">
            <w:pPr>
              <w:jc w:val="center"/>
              <w:rPr>
                <w:rFonts w:ascii="Arial" w:hAnsi="Arial" w:cs="Arial"/>
                <w:sz w:val="20"/>
                <w:szCs w:val="20"/>
              </w:rPr>
            </w:pPr>
            <w:bookmarkStart w:id="2" w:name="_Hlk108970436"/>
            <w:r w:rsidRPr="00F340E1">
              <w:rPr>
                <w:rFonts w:ascii="Arial" w:hAnsi="Arial" w:cs="Arial"/>
                <w:sz w:val="20"/>
                <w:szCs w:val="20"/>
              </w:rPr>
              <w:t>Elements in AT</w:t>
            </w:r>
          </w:p>
        </w:tc>
        <w:tc>
          <w:tcPr>
            <w:tcW w:w="1892" w:type="dxa"/>
            <w:hideMark/>
          </w:tcPr>
          <w:p w14:paraId="1427291A" w14:textId="77777777" w:rsidR="008B1CDD" w:rsidRPr="00F340E1" w:rsidRDefault="008B1CDD">
            <w:pPr>
              <w:jc w:val="center"/>
              <w:rPr>
                <w:rFonts w:ascii="Arial" w:hAnsi="Arial" w:cs="Arial"/>
                <w:sz w:val="20"/>
                <w:szCs w:val="20"/>
              </w:rPr>
            </w:pPr>
            <w:r w:rsidRPr="00F340E1">
              <w:rPr>
                <w:rFonts w:ascii="Arial" w:hAnsi="Arial" w:cs="Arial"/>
                <w:sz w:val="20"/>
                <w:szCs w:val="20"/>
              </w:rPr>
              <w:t>Sub-elements</w:t>
            </w:r>
          </w:p>
        </w:tc>
        <w:tc>
          <w:tcPr>
            <w:tcW w:w="5757" w:type="dxa"/>
            <w:hideMark/>
          </w:tcPr>
          <w:p w14:paraId="3D60967F" w14:textId="77777777" w:rsidR="008B1CDD" w:rsidRPr="00F340E1" w:rsidRDefault="008B1CDD">
            <w:pPr>
              <w:jc w:val="center"/>
              <w:rPr>
                <w:rFonts w:ascii="Arial" w:hAnsi="Arial" w:cs="Arial"/>
                <w:sz w:val="20"/>
                <w:szCs w:val="20"/>
              </w:rPr>
            </w:pPr>
            <w:r w:rsidRPr="00F340E1">
              <w:rPr>
                <w:rFonts w:ascii="Arial" w:hAnsi="Arial" w:cs="Arial"/>
                <w:sz w:val="20"/>
                <w:szCs w:val="20"/>
              </w:rPr>
              <w:t>Items</w:t>
            </w:r>
          </w:p>
        </w:tc>
      </w:tr>
      <w:tr w:rsidR="008B1CDD" w:rsidRPr="00F340E1" w14:paraId="519791E0" w14:textId="77777777" w:rsidTr="00F340E1">
        <w:trPr>
          <w:trHeight w:val="1570"/>
        </w:trPr>
        <w:tc>
          <w:tcPr>
            <w:tcW w:w="1560" w:type="dxa"/>
            <w:vMerge w:val="restart"/>
            <w:hideMark/>
          </w:tcPr>
          <w:p w14:paraId="1CDA5350" w14:textId="77777777" w:rsidR="008B1CDD" w:rsidRPr="00F340E1" w:rsidRDefault="008B1CDD">
            <w:pPr>
              <w:jc w:val="center"/>
              <w:rPr>
                <w:rFonts w:ascii="Arial" w:hAnsi="Arial" w:cs="Arial"/>
                <w:sz w:val="20"/>
                <w:szCs w:val="20"/>
              </w:rPr>
            </w:pPr>
            <w:r w:rsidRPr="00F340E1">
              <w:rPr>
                <w:rFonts w:ascii="Arial" w:hAnsi="Arial" w:cs="Arial"/>
                <w:sz w:val="20"/>
                <w:szCs w:val="20"/>
              </w:rPr>
              <w:t>Rules (Pedagogical strategies)</w:t>
            </w:r>
          </w:p>
        </w:tc>
        <w:tc>
          <w:tcPr>
            <w:tcW w:w="1892" w:type="dxa"/>
            <w:hideMark/>
          </w:tcPr>
          <w:p w14:paraId="7EBAD3B7" w14:textId="77777777" w:rsidR="008B1CDD" w:rsidRPr="00F340E1" w:rsidRDefault="008B1CDD">
            <w:pPr>
              <w:jc w:val="center"/>
              <w:rPr>
                <w:rFonts w:ascii="Arial" w:hAnsi="Arial" w:cs="Arial"/>
                <w:sz w:val="20"/>
                <w:szCs w:val="20"/>
              </w:rPr>
            </w:pPr>
            <w:r w:rsidRPr="00F340E1">
              <w:rPr>
                <w:rFonts w:ascii="Arial" w:hAnsi="Arial" w:cs="Arial"/>
                <w:sz w:val="20"/>
                <w:szCs w:val="20"/>
              </w:rPr>
              <w:t>Group discussions</w:t>
            </w:r>
          </w:p>
        </w:tc>
        <w:tc>
          <w:tcPr>
            <w:tcW w:w="5757" w:type="dxa"/>
            <w:hideMark/>
          </w:tcPr>
          <w:p w14:paraId="60590166" w14:textId="77777777" w:rsidR="008B1CDD" w:rsidRPr="00F340E1" w:rsidRDefault="008B1CDD">
            <w:pPr>
              <w:jc w:val="left"/>
              <w:rPr>
                <w:rFonts w:ascii="Arial" w:hAnsi="Arial" w:cs="Arial"/>
                <w:sz w:val="20"/>
                <w:szCs w:val="20"/>
              </w:rPr>
            </w:pPr>
            <w:r w:rsidRPr="00F340E1">
              <w:rPr>
                <w:rFonts w:ascii="Arial" w:hAnsi="Arial" w:cs="Arial"/>
                <w:sz w:val="20"/>
                <w:szCs w:val="20"/>
              </w:rPr>
              <w:t>Facilitator role of teachers in discussion board (Cheong and Martin 2009); Instructors debrief students frequently (</w:t>
            </w:r>
            <w:r w:rsidRPr="00F340E1">
              <w:rPr>
                <w:rFonts w:ascii="Arial" w:hAnsi="Arial" w:cs="Arial"/>
                <w:sz w:val="20"/>
                <w:szCs w:val="20"/>
                <w:lang w:val="en-GB"/>
              </w:rPr>
              <w:t>Leh, Grau, and Guiseppe 2015</w:t>
            </w:r>
            <w:r w:rsidRPr="00F340E1">
              <w:rPr>
                <w:rFonts w:ascii="Arial" w:hAnsi="Arial" w:cs="Arial"/>
                <w:sz w:val="20"/>
                <w:szCs w:val="20"/>
              </w:rPr>
              <w:t>); Cultural diversity activities in school as learning materials (Arndt et al. 2021); Virtual partner(s) group discussion about international current events (King Ramirez 2020); Collaborative Online International Learning (Stefanova and Jiménez 2019); Cross-cultural management problems in corporate settings as learning materials (Yang, Olesova, and Richardson 2010)</w:t>
            </w:r>
          </w:p>
        </w:tc>
      </w:tr>
      <w:tr w:rsidR="008B1CDD" w:rsidRPr="00F340E1" w14:paraId="4F62C437" w14:textId="77777777" w:rsidTr="00F340E1">
        <w:trPr>
          <w:trHeight w:val="1258"/>
        </w:trPr>
        <w:tc>
          <w:tcPr>
            <w:tcW w:w="0" w:type="auto"/>
            <w:vMerge/>
            <w:vAlign w:val="center"/>
            <w:hideMark/>
          </w:tcPr>
          <w:p w14:paraId="3EC426D3" w14:textId="77777777" w:rsidR="008B1CDD" w:rsidRPr="00F340E1" w:rsidRDefault="008B1CDD">
            <w:pPr>
              <w:widowControl/>
              <w:jc w:val="left"/>
              <w:rPr>
                <w:rFonts w:ascii="Arial" w:hAnsi="Arial" w:cs="Arial"/>
                <w:sz w:val="20"/>
                <w:szCs w:val="20"/>
              </w:rPr>
            </w:pPr>
          </w:p>
        </w:tc>
        <w:tc>
          <w:tcPr>
            <w:tcW w:w="1892" w:type="dxa"/>
            <w:hideMark/>
          </w:tcPr>
          <w:p w14:paraId="06124E70" w14:textId="77777777" w:rsidR="008B1CDD" w:rsidRPr="00F340E1" w:rsidRDefault="008B1CDD">
            <w:pPr>
              <w:jc w:val="center"/>
              <w:rPr>
                <w:rFonts w:ascii="Arial" w:hAnsi="Arial" w:cs="Arial"/>
                <w:sz w:val="20"/>
                <w:szCs w:val="20"/>
              </w:rPr>
            </w:pPr>
            <w:r w:rsidRPr="00F340E1">
              <w:rPr>
                <w:rFonts w:ascii="Arial" w:hAnsi="Arial" w:cs="Arial"/>
                <w:sz w:val="20"/>
                <w:szCs w:val="20"/>
              </w:rPr>
              <w:t>Project-based learning</w:t>
            </w:r>
          </w:p>
        </w:tc>
        <w:tc>
          <w:tcPr>
            <w:tcW w:w="5757" w:type="dxa"/>
            <w:hideMark/>
          </w:tcPr>
          <w:p w14:paraId="0757D3BE" w14:textId="77777777" w:rsidR="008B1CDD" w:rsidRPr="00F340E1" w:rsidRDefault="008B1CDD">
            <w:pPr>
              <w:jc w:val="left"/>
              <w:rPr>
                <w:rFonts w:ascii="Arial" w:hAnsi="Arial" w:cs="Arial"/>
                <w:sz w:val="20"/>
                <w:szCs w:val="20"/>
              </w:rPr>
            </w:pPr>
            <w:r w:rsidRPr="00F340E1">
              <w:rPr>
                <w:rFonts w:ascii="Arial" w:hAnsi="Arial" w:cs="Arial"/>
                <w:sz w:val="20"/>
                <w:szCs w:val="20"/>
              </w:rPr>
              <w:t>Mixed multi-cultural project groups (</w:t>
            </w:r>
            <w:r w:rsidRPr="00F340E1">
              <w:rPr>
                <w:rFonts w:ascii="Arial" w:hAnsi="Arial" w:cs="Arial"/>
                <w:sz w:val="20"/>
                <w:szCs w:val="20"/>
                <w:lang w:val="en-GB"/>
              </w:rPr>
              <w:t>Leh, Grau, and Guiseppe 2015</w:t>
            </w:r>
            <w:r w:rsidRPr="00F340E1">
              <w:rPr>
                <w:rFonts w:ascii="Arial" w:hAnsi="Arial" w:cs="Arial"/>
                <w:sz w:val="20"/>
                <w:szCs w:val="20"/>
              </w:rPr>
              <w:t>); Customer–merchant model (Quan and Gu 2018); Different roles in collaboration (relationships with Sternberg’s thinking styles inventory) (</w:t>
            </w:r>
            <w:r w:rsidRPr="00F340E1">
              <w:rPr>
                <w:rFonts w:ascii="Arial" w:hAnsi="Arial" w:cs="Arial"/>
                <w:sz w:val="20"/>
                <w:szCs w:val="20"/>
                <w:lang w:val="en-GB"/>
              </w:rPr>
              <w:t>Gu, Wang, and Mason 2017</w:t>
            </w:r>
            <w:r w:rsidRPr="00F340E1">
              <w:rPr>
                <w:rFonts w:ascii="Arial" w:hAnsi="Arial" w:cs="Arial"/>
                <w:sz w:val="20"/>
                <w:szCs w:val="20"/>
              </w:rPr>
              <w:t>); Experiential and reflective learning (Van Boeijen 2016)</w:t>
            </w:r>
          </w:p>
        </w:tc>
      </w:tr>
      <w:tr w:rsidR="008B1CDD" w:rsidRPr="00F340E1" w14:paraId="1AEFDAED" w14:textId="77777777" w:rsidTr="00F340E1">
        <w:tc>
          <w:tcPr>
            <w:tcW w:w="0" w:type="auto"/>
            <w:vMerge/>
            <w:vAlign w:val="center"/>
            <w:hideMark/>
          </w:tcPr>
          <w:p w14:paraId="1B0E418F" w14:textId="77777777" w:rsidR="008B1CDD" w:rsidRPr="00F340E1" w:rsidRDefault="008B1CDD">
            <w:pPr>
              <w:widowControl/>
              <w:jc w:val="left"/>
              <w:rPr>
                <w:rFonts w:ascii="Arial" w:hAnsi="Arial" w:cs="Arial"/>
                <w:sz w:val="20"/>
                <w:szCs w:val="20"/>
              </w:rPr>
            </w:pPr>
          </w:p>
        </w:tc>
        <w:tc>
          <w:tcPr>
            <w:tcW w:w="1892" w:type="dxa"/>
            <w:hideMark/>
          </w:tcPr>
          <w:p w14:paraId="0CF5BAAF" w14:textId="77777777" w:rsidR="008B1CDD" w:rsidRPr="00F340E1" w:rsidRDefault="008B1CDD">
            <w:pPr>
              <w:jc w:val="center"/>
              <w:rPr>
                <w:rFonts w:ascii="Arial" w:hAnsi="Arial" w:cs="Arial"/>
                <w:sz w:val="20"/>
                <w:szCs w:val="20"/>
              </w:rPr>
            </w:pPr>
            <w:r w:rsidRPr="00F340E1">
              <w:rPr>
                <w:rFonts w:ascii="Arial" w:hAnsi="Arial" w:cs="Arial"/>
                <w:sz w:val="20"/>
                <w:szCs w:val="20"/>
              </w:rPr>
              <w:t>Problem-based learning</w:t>
            </w:r>
          </w:p>
        </w:tc>
        <w:tc>
          <w:tcPr>
            <w:tcW w:w="5757" w:type="dxa"/>
            <w:hideMark/>
          </w:tcPr>
          <w:p w14:paraId="4A0773BC" w14:textId="77777777" w:rsidR="008B1CDD" w:rsidRPr="00F340E1" w:rsidRDefault="008B1CDD">
            <w:pPr>
              <w:jc w:val="left"/>
              <w:rPr>
                <w:rFonts w:ascii="Arial" w:hAnsi="Arial" w:cs="Arial"/>
                <w:sz w:val="20"/>
                <w:szCs w:val="20"/>
              </w:rPr>
            </w:pPr>
            <w:r w:rsidRPr="00F340E1">
              <w:rPr>
                <w:rFonts w:ascii="Arial" w:hAnsi="Arial" w:cs="Arial"/>
                <w:sz w:val="20"/>
                <w:szCs w:val="20"/>
              </w:rPr>
              <w:t>(Rubin 2009)</w:t>
            </w:r>
          </w:p>
        </w:tc>
      </w:tr>
      <w:tr w:rsidR="008B1CDD" w:rsidRPr="00F340E1" w14:paraId="5B218909" w14:textId="77777777" w:rsidTr="00F340E1">
        <w:trPr>
          <w:trHeight w:val="586"/>
        </w:trPr>
        <w:tc>
          <w:tcPr>
            <w:tcW w:w="0" w:type="auto"/>
            <w:vMerge/>
            <w:vAlign w:val="center"/>
            <w:hideMark/>
          </w:tcPr>
          <w:p w14:paraId="7EAE7196" w14:textId="77777777" w:rsidR="008B1CDD" w:rsidRPr="00F340E1" w:rsidRDefault="008B1CDD">
            <w:pPr>
              <w:widowControl/>
              <w:jc w:val="left"/>
              <w:rPr>
                <w:rFonts w:ascii="Arial" w:hAnsi="Arial" w:cs="Arial"/>
                <w:sz w:val="20"/>
                <w:szCs w:val="20"/>
              </w:rPr>
            </w:pPr>
          </w:p>
        </w:tc>
        <w:tc>
          <w:tcPr>
            <w:tcW w:w="1892" w:type="dxa"/>
            <w:hideMark/>
          </w:tcPr>
          <w:p w14:paraId="0548903D" w14:textId="77777777" w:rsidR="008B1CDD" w:rsidRPr="00F340E1" w:rsidRDefault="008B1CDD">
            <w:pPr>
              <w:jc w:val="center"/>
              <w:rPr>
                <w:rFonts w:ascii="Arial" w:hAnsi="Arial" w:cs="Arial"/>
                <w:sz w:val="20"/>
                <w:szCs w:val="20"/>
              </w:rPr>
            </w:pPr>
            <w:r w:rsidRPr="00F340E1">
              <w:rPr>
                <w:rFonts w:ascii="Arial" w:hAnsi="Arial" w:cs="Arial"/>
                <w:sz w:val="20"/>
                <w:szCs w:val="20"/>
              </w:rPr>
              <w:t>Cultural consideration in feedback</w:t>
            </w:r>
          </w:p>
        </w:tc>
        <w:tc>
          <w:tcPr>
            <w:tcW w:w="5757" w:type="dxa"/>
            <w:hideMark/>
          </w:tcPr>
          <w:p w14:paraId="4BD23AAB" w14:textId="77777777" w:rsidR="008B1CDD" w:rsidRPr="00F340E1" w:rsidRDefault="008B1CDD">
            <w:pPr>
              <w:jc w:val="left"/>
              <w:rPr>
                <w:rFonts w:ascii="Arial" w:hAnsi="Arial" w:cs="Arial"/>
                <w:sz w:val="20"/>
                <w:szCs w:val="20"/>
              </w:rPr>
            </w:pPr>
            <w:r w:rsidRPr="00F340E1">
              <w:rPr>
                <w:rFonts w:ascii="Arial" w:hAnsi="Arial" w:cs="Arial"/>
                <w:sz w:val="20"/>
                <w:szCs w:val="20"/>
              </w:rPr>
              <w:t>Power distance considered in instruction (Rubin 2009); Online learning combined with culturally responsive teaching strategies (Lin and Yang 2015)</w:t>
            </w:r>
          </w:p>
        </w:tc>
      </w:tr>
      <w:tr w:rsidR="008B1CDD" w:rsidRPr="00F340E1" w14:paraId="0D46BD25" w14:textId="77777777" w:rsidTr="00F340E1">
        <w:tc>
          <w:tcPr>
            <w:tcW w:w="0" w:type="auto"/>
            <w:vMerge/>
            <w:vAlign w:val="center"/>
            <w:hideMark/>
          </w:tcPr>
          <w:p w14:paraId="30931316" w14:textId="77777777" w:rsidR="008B1CDD" w:rsidRPr="00F340E1" w:rsidRDefault="008B1CDD">
            <w:pPr>
              <w:widowControl/>
              <w:jc w:val="left"/>
              <w:rPr>
                <w:rFonts w:ascii="Arial" w:hAnsi="Arial" w:cs="Arial"/>
                <w:sz w:val="20"/>
                <w:szCs w:val="20"/>
              </w:rPr>
            </w:pPr>
          </w:p>
        </w:tc>
        <w:tc>
          <w:tcPr>
            <w:tcW w:w="1892" w:type="dxa"/>
            <w:hideMark/>
          </w:tcPr>
          <w:p w14:paraId="154FED4A" w14:textId="77777777" w:rsidR="008B1CDD" w:rsidRPr="00F340E1" w:rsidRDefault="008B1CDD">
            <w:pPr>
              <w:jc w:val="center"/>
              <w:rPr>
                <w:rFonts w:ascii="Arial" w:hAnsi="Arial" w:cs="Arial"/>
                <w:sz w:val="20"/>
                <w:szCs w:val="20"/>
              </w:rPr>
            </w:pPr>
            <w:r w:rsidRPr="00F340E1">
              <w:rPr>
                <w:rFonts w:ascii="Arial" w:hAnsi="Arial" w:cs="Arial"/>
                <w:sz w:val="20"/>
                <w:szCs w:val="20"/>
              </w:rPr>
              <w:t>Digital game-based learning</w:t>
            </w:r>
          </w:p>
        </w:tc>
        <w:tc>
          <w:tcPr>
            <w:tcW w:w="5757" w:type="dxa"/>
            <w:hideMark/>
          </w:tcPr>
          <w:p w14:paraId="364EEF7F" w14:textId="399EF2D2" w:rsidR="008B1CDD" w:rsidRPr="00F340E1" w:rsidRDefault="008B1CDD">
            <w:pPr>
              <w:jc w:val="left"/>
              <w:rPr>
                <w:rFonts w:ascii="Arial" w:hAnsi="Arial" w:cs="Arial"/>
                <w:sz w:val="20"/>
                <w:szCs w:val="20"/>
              </w:rPr>
            </w:pPr>
            <w:r w:rsidRPr="00F340E1">
              <w:rPr>
                <w:rFonts w:ascii="Arial" w:hAnsi="Arial" w:cs="Arial"/>
                <w:sz w:val="20"/>
                <w:szCs w:val="20"/>
              </w:rPr>
              <w:t xml:space="preserve">Learning games </w:t>
            </w:r>
            <w:r w:rsidR="00DE742A" w:rsidRPr="00F340E1">
              <w:rPr>
                <w:rFonts w:ascii="Arial" w:hAnsi="Arial" w:cs="Arial"/>
                <w:sz w:val="20"/>
                <w:szCs w:val="20"/>
              </w:rPr>
              <w:t>designed</w:t>
            </w:r>
            <w:r w:rsidRPr="00F340E1">
              <w:rPr>
                <w:rFonts w:ascii="Arial" w:hAnsi="Arial" w:cs="Arial"/>
                <w:sz w:val="20"/>
                <w:szCs w:val="20"/>
              </w:rPr>
              <w:t xml:space="preserve"> based on cross-cultural psychology (Park and Wen 2016)</w:t>
            </w:r>
          </w:p>
        </w:tc>
        <w:bookmarkEnd w:id="2"/>
      </w:tr>
    </w:tbl>
    <w:p w14:paraId="55731D10" w14:textId="77777777" w:rsidR="007A2839" w:rsidRDefault="007A2839" w:rsidP="007A2839">
      <w:pPr>
        <w:widowControl/>
        <w:outlineLvl w:val="0"/>
        <w:rPr>
          <w:rFonts w:ascii="Arial" w:eastAsia="等线" w:hAnsi="Arial" w:cs="Arial"/>
          <w:b/>
          <w:bCs/>
          <w:color w:val="000000"/>
          <w:kern w:val="36"/>
          <w:sz w:val="24"/>
          <w:szCs w:val="24"/>
          <w:lang w:eastAsia="it-IT"/>
        </w:rPr>
      </w:pPr>
    </w:p>
    <w:p w14:paraId="71EBACA6" w14:textId="46D7876C" w:rsidR="00232A58" w:rsidRPr="007A2839" w:rsidRDefault="007A2839" w:rsidP="007A2839">
      <w:pPr>
        <w:widowControl/>
        <w:outlineLvl w:val="0"/>
        <w:rPr>
          <w:rFonts w:ascii="Arial" w:eastAsia="等线" w:hAnsi="Arial" w:cs="Arial"/>
          <w:b/>
          <w:bCs/>
          <w:color w:val="000000"/>
          <w:kern w:val="36"/>
          <w:sz w:val="24"/>
          <w:szCs w:val="24"/>
          <w:lang w:eastAsia="it-IT"/>
        </w:rPr>
      </w:pPr>
      <w:r w:rsidRPr="007A2839">
        <w:rPr>
          <w:rFonts w:ascii="Arial" w:eastAsia="等线" w:hAnsi="Arial" w:cs="Arial"/>
          <w:b/>
          <w:bCs/>
          <w:color w:val="000000"/>
          <w:kern w:val="36"/>
          <w:sz w:val="24"/>
          <w:szCs w:val="24"/>
          <w:lang w:eastAsia="it-IT"/>
        </w:rPr>
        <w:t xml:space="preserve">4. </w:t>
      </w:r>
      <w:r w:rsidR="00232A58" w:rsidRPr="007A2839">
        <w:rPr>
          <w:rFonts w:ascii="Arial" w:eastAsia="等线" w:hAnsi="Arial" w:cs="Arial"/>
          <w:b/>
          <w:bCs/>
          <w:color w:val="000000"/>
          <w:kern w:val="36"/>
          <w:sz w:val="24"/>
          <w:szCs w:val="24"/>
          <w:lang w:eastAsia="it-IT"/>
        </w:rPr>
        <w:t>References</w:t>
      </w:r>
    </w:p>
    <w:p w14:paraId="26E62075" w14:textId="01156D42" w:rsidR="007D159C" w:rsidRPr="007A2839" w:rsidRDefault="007D159C" w:rsidP="007A2839">
      <w:pPr>
        <w:widowControl/>
        <w:ind w:left="426" w:hanging="426"/>
        <w:rPr>
          <w:rFonts w:ascii="Arial" w:eastAsia="Calibri" w:hAnsi="Arial" w:cs="Arial"/>
          <w:color w:val="000000"/>
          <w:kern w:val="0"/>
          <w:sz w:val="20"/>
          <w:szCs w:val="20"/>
          <w:lang w:val="en-GB" w:eastAsia="it-IT"/>
        </w:rPr>
      </w:pPr>
      <w:r w:rsidRPr="007A2839">
        <w:rPr>
          <w:rFonts w:ascii="Arial" w:eastAsia="Calibri" w:hAnsi="Arial" w:cs="Arial"/>
          <w:color w:val="000000"/>
          <w:kern w:val="0"/>
          <w:sz w:val="20"/>
          <w:szCs w:val="20"/>
          <w:lang w:val="en-GB" w:eastAsia="it-IT"/>
        </w:rPr>
        <w:t>Arndt, S., S. Madrid Akpovo , M. Tesar , T. Han, F. Huang, and M. Halladay. 2021. “Collaborative Online Learning across Borders (COLAB): Examining Intercultural Understandings of Preservice Teachers in a Virtual Cross-ultural University-based Program.” Journal of Research in Childhood Education 35 (2): 281-296. doi: 10.1080/02568543.2021.1880994.</w:t>
      </w:r>
    </w:p>
    <w:p w14:paraId="193E0E20" w14:textId="77777777" w:rsidR="007D159C" w:rsidRPr="007A2839" w:rsidRDefault="007D159C" w:rsidP="007A2839">
      <w:pPr>
        <w:widowControl/>
        <w:ind w:left="426" w:hanging="426"/>
        <w:rPr>
          <w:rFonts w:ascii="Arial" w:eastAsia="Calibri" w:hAnsi="Arial" w:cs="Arial"/>
          <w:color w:val="000000"/>
          <w:kern w:val="0"/>
          <w:sz w:val="20"/>
          <w:szCs w:val="20"/>
          <w:lang w:val="en-GB" w:eastAsia="it-IT"/>
        </w:rPr>
      </w:pPr>
      <w:r w:rsidRPr="007A2839">
        <w:rPr>
          <w:rFonts w:ascii="Arial" w:eastAsia="Calibri" w:hAnsi="Arial" w:cs="Arial"/>
          <w:color w:val="000000"/>
          <w:kern w:val="0"/>
          <w:sz w:val="20"/>
          <w:szCs w:val="20"/>
          <w:lang w:val="en-GB" w:eastAsia="it-IT"/>
        </w:rPr>
        <w:t>Cheong, P. H., and J. N. Martin. 2010. “Cultural Implications of E-learning Access (&amp; Divides): Teaching an Intercultural Communication Course Online.” In Cases on Successful E-Learning Practices in the Developed and Developing World: Methods for the Global Information Economy, 78-91. Pennsylvania: IGI global. doi: 10.4018/978-1-60566-942-7.ch006.</w:t>
      </w:r>
    </w:p>
    <w:p w14:paraId="0CDDE805" w14:textId="77777777" w:rsidR="007D159C" w:rsidRPr="007A2839" w:rsidRDefault="007D159C" w:rsidP="007A2839">
      <w:pPr>
        <w:widowControl/>
        <w:ind w:left="426" w:hanging="426"/>
        <w:rPr>
          <w:rFonts w:ascii="Arial" w:eastAsia="Calibri" w:hAnsi="Arial" w:cs="Arial"/>
          <w:color w:val="000000"/>
          <w:kern w:val="0"/>
          <w:sz w:val="20"/>
          <w:szCs w:val="20"/>
          <w:lang w:val="en-GB" w:eastAsia="it-IT"/>
        </w:rPr>
      </w:pPr>
      <w:r w:rsidRPr="007A2839">
        <w:rPr>
          <w:rFonts w:ascii="Arial" w:eastAsia="Calibri" w:hAnsi="Arial" w:cs="Arial"/>
          <w:color w:val="000000"/>
          <w:kern w:val="0"/>
          <w:sz w:val="20"/>
          <w:szCs w:val="20"/>
          <w:lang w:val="en-GB" w:eastAsia="it-IT"/>
        </w:rPr>
        <w:lastRenderedPageBreak/>
        <w:t>Goold, A., A. Craig, and J. Coldwell. 2007. “Accommodating Culture and Cultural Diversity in Online Teaching.” Australasian Journal of Educational Technology 23 (4): 490-507. doi: 10.14742/ajet.1248.</w:t>
      </w:r>
    </w:p>
    <w:p w14:paraId="381AAF87" w14:textId="77777777" w:rsidR="007D159C" w:rsidRPr="007A2839" w:rsidRDefault="007D159C" w:rsidP="007A2839">
      <w:pPr>
        <w:widowControl/>
        <w:ind w:left="426" w:hanging="426"/>
        <w:rPr>
          <w:rFonts w:ascii="Arial" w:eastAsia="Calibri" w:hAnsi="Arial" w:cs="Arial"/>
          <w:color w:val="000000"/>
          <w:kern w:val="0"/>
          <w:sz w:val="20"/>
          <w:szCs w:val="20"/>
          <w:lang w:val="en-GB" w:eastAsia="it-IT"/>
        </w:rPr>
      </w:pPr>
      <w:r w:rsidRPr="007A2839">
        <w:rPr>
          <w:rFonts w:ascii="Arial" w:eastAsia="Calibri" w:hAnsi="Arial" w:cs="Arial"/>
          <w:color w:val="000000"/>
          <w:kern w:val="0"/>
          <w:sz w:val="20"/>
          <w:szCs w:val="20"/>
          <w:lang w:val="en-GB" w:eastAsia="it-IT"/>
        </w:rPr>
        <w:t xml:space="preserve">Gu, X., H. Wang, and J. Mason. 2017. “Are They Thinking Differently: A Cross-cultural Study on the Relationship of Thinking Styles and Emerging Roles in Computer-supported collaborative Learning.” Journal of Educational Technology and Society 20 (1): 13-24. </w:t>
      </w:r>
      <w:hyperlink r:id="rId8" w:history="1">
        <w:r w:rsidRPr="007A2839">
          <w:rPr>
            <w:rFonts w:ascii="Arial" w:eastAsia="Calibri" w:hAnsi="Arial" w:cs="Arial"/>
            <w:color w:val="000000"/>
            <w:kern w:val="0"/>
            <w:sz w:val="20"/>
            <w:szCs w:val="20"/>
            <w:lang w:val="en-GB" w:eastAsia="it-IT"/>
          </w:rPr>
          <w:t>https://ris.cdu.edu.au/ws/portalfiles/portal/20609458/Mason_59692.pdf</w:t>
        </w:r>
      </w:hyperlink>
    </w:p>
    <w:p w14:paraId="5A3BEA2A" w14:textId="77777777" w:rsidR="007D159C" w:rsidRPr="007A2839" w:rsidRDefault="007D159C" w:rsidP="007A2839">
      <w:pPr>
        <w:widowControl/>
        <w:ind w:left="426" w:hanging="426"/>
        <w:rPr>
          <w:rFonts w:ascii="Arial" w:eastAsia="Calibri" w:hAnsi="Arial" w:cs="Arial"/>
          <w:color w:val="000000"/>
          <w:kern w:val="0"/>
          <w:sz w:val="20"/>
          <w:szCs w:val="20"/>
          <w:lang w:val="en-GB" w:eastAsia="it-IT"/>
        </w:rPr>
      </w:pPr>
      <w:r w:rsidRPr="007A2839">
        <w:rPr>
          <w:rFonts w:ascii="Arial" w:eastAsia="Calibri" w:hAnsi="Arial" w:cs="Arial"/>
          <w:color w:val="000000"/>
          <w:kern w:val="0"/>
          <w:sz w:val="20"/>
          <w:szCs w:val="20"/>
          <w:lang w:val="en-GB" w:eastAsia="it-IT"/>
        </w:rPr>
        <w:t>King Ramirez, C. 2020. “Influences of Academic Culture in Collaborative Online International Learning (COIL): Differences in Mexican and US Students' Reported Experiences.” Foreign Language Annals 53 (3): 438-457. doi: 10.1111/flan.12485.</w:t>
      </w:r>
    </w:p>
    <w:p w14:paraId="479341B2" w14:textId="77777777" w:rsidR="007D159C" w:rsidRPr="007A2839" w:rsidRDefault="007D159C" w:rsidP="007A2839">
      <w:pPr>
        <w:widowControl/>
        <w:ind w:left="426" w:hanging="426"/>
        <w:rPr>
          <w:rFonts w:ascii="Arial" w:eastAsia="Calibri" w:hAnsi="Arial" w:cs="Arial"/>
          <w:color w:val="000000"/>
          <w:kern w:val="0"/>
          <w:sz w:val="20"/>
          <w:szCs w:val="20"/>
          <w:lang w:val="en-GB" w:eastAsia="it-IT"/>
        </w:rPr>
      </w:pPr>
      <w:r w:rsidRPr="007A2839">
        <w:rPr>
          <w:rFonts w:ascii="Arial" w:eastAsia="Calibri" w:hAnsi="Arial" w:cs="Arial"/>
          <w:color w:val="000000"/>
          <w:kern w:val="0"/>
          <w:sz w:val="20"/>
          <w:szCs w:val="20"/>
          <w:lang w:val="en-GB" w:eastAsia="it-IT"/>
        </w:rPr>
        <w:t>Kumi-Yeboah, A. 2018. “Designing a Cross-cultural Collaborative Online Learning Framework for Online Instructors.” Online Learning 22 (4): 181-201. doi: 10.24059/olj.v22i4.1520.</w:t>
      </w:r>
    </w:p>
    <w:p w14:paraId="774C2DD7" w14:textId="77777777" w:rsidR="007D159C" w:rsidRPr="007A2839" w:rsidRDefault="007D159C" w:rsidP="007A2839">
      <w:pPr>
        <w:widowControl/>
        <w:ind w:left="426" w:hanging="426"/>
        <w:rPr>
          <w:rFonts w:ascii="Arial" w:eastAsia="Calibri" w:hAnsi="Arial" w:cs="Arial"/>
          <w:color w:val="000000"/>
          <w:kern w:val="0"/>
          <w:sz w:val="20"/>
          <w:szCs w:val="20"/>
          <w:lang w:val="en-GB" w:eastAsia="it-IT"/>
        </w:rPr>
      </w:pPr>
      <w:r w:rsidRPr="007A2839">
        <w:rPr>
          <w:rFonts w:ascii="Arial" w:eastAsia="Calibri" w:hAnsi="Arial" w:cs="Arial"/>
          <w:color w:val="000000"/>
          <w:kern w:val="0"/>
          <w:sz w:val="20"/>
          <w:szCs w:val="20"/>
          <w:lang w:val="en-GB" w:eastAsia="it-IT"/>
        </w:rPr>
        <w:t>Kumi-Yeboah, A., J. Dogbey, G. Yuan, and P. Smith. 2020. “Cultural Diversity in Online Education: An Exploration of Instructors’ Perceptions and Challenges.” Teachers College Record 122 (7): 1-46. doi: 10.1177/016146812012200708.</w:t>
      </w:r>
    </w:p>
    <w:p w14:paraId="169878B6" w14:textId="77777777" w:rsidR="007D159C" w:rsidRPr="007A2839" w:rsidRDefault="007D159C" w:rsidP="007A2839">
      <w:pPr>
        <w:widowControl/>
        <w:ind w:left="426" w:hanging="426"/>
        <w:rPr>
          <w:rFonts w:ascii="Arial" w:eastAsia="Calibri" w:hAnsi="Arial" w:cs="Arial"/>
          <w:color w:val="000000"/>
          <w:kern w:val="0"/>
          <w:sz w:val="20"/>
          <w:szCs w:val="20"/>
          <w:lang w:val="en-GB" w:eastAsia="it-IT"/>
        </w:rPr>
      </w:pPr>
      <w:r w:rsidRPr="007A2839">
        <w:rPr>
          <w:rFonts w:ascii="Arial" w:eastAsia="Calibri" w:hAnsi="Arial" w:cs="Arial"/>
          <w:color w:val="000000"/>
          <w:kern w:val="0"/>
          <w:sz w:val="20"/>
          <w:szCs w:val="20"/>
          <w:lang w:val="en-GB" w:eastAsia="it-IT"/>
        </w:rPr>
        <w:t>Leh, J. M., M. Grau, and J. A. Guiseppe. 2015. “Navigating the Development of Pre-service Teachers’ Intercultural Competence and Understanding of Diversity: The Benefits of Facilitating Online Intercultural Exchange.” Journal for Multicultural Education 9 (2): 98-110. doi: 10.1108/JME-12-2014-0042.</w:t>
      </w:r>
    </w:p>
    <w:p w14:paraId="725B8DD8" w14:textId="77777777" w:rsidR="007D159C" w:rsidRPr="007A2839" w:rsidRDefault="007D159C" w:rsidP="007A2839">
      <w:pPr>
        <w:widowControl/>
        <w:ind w:left="426" w:hanging="426"/>
        <w:rPr>
          <w:rFonts w:ascii="Arial" w:eastAsia="Calibri" w:hAnsi="Arial" w:cs="Arial"/>
          <w:color w:val="000000"/>
          <w:kern w:val="0"/>
          <w:sz w:val="20"/>
          <w:szCs w:val="20"/>
          <w:lang w:val="en-GB" w:eastAsia="it-IT"/>
        </w:rPr>
      </w:pPr>
      <w:r w:rsidRPr="007A2839">
        <w:rPr>
          <w:rFonts w:ascii="Arial" w:eastAsia="Calibri" w:hAnsi="Arial" w:cs="Arial"/>
          <w:color w:val="000000"/>
          <w:kern w:val="0"/>
          <w:sz w:val="20"/>
          <w:szCs w:val="20"/>
          <w:lang w:val="en-GB" w:eastAsia="it-IT"/>
        </w:rPr>
        <w:t>Lin, W. C., and S. C. Yang. 2015. “Effects of Online Culturally Responsive Pedagogy: Collaborative Learning between College Tutors and Indigenous High School Students.” Journal of Research in Education Sciences 60 (4): 223-253. doi: 10.6209/JORIES.2015.60(4).08.</w:t>
      </w:r>
    </w:p>
    <w:p w14:paraId="48404357" w14:textId="77777777" w:rsidR="007D159C" w:rsidRPr="007A2839" w:rsidRDefault="007D159C" w:rsidP="007A2839">
      <w:pPr>
        <w:widowControl/>
        <w:ind w:left="426" w:hanging="426"/>
        <w:rPr>
          <w:rFonts w:ascii="Arial" w:eastAsia="Calibri" w:hAnsi="Arial" w:cs="Arial"/>
          <w:color w:val="000000"/>
          <w:kern w:val="0"/>
          <w:sz w:val="20"/>
          <w:szCs w:val="20"/>
          <w:lang w:val="en-GB" w:eastAsia="it-IT"/>
        </w:rPr>
      </w:pPr>
      <w:r w:rsidRPr="007A2839">
        <w:rPr>
          <w:rFonts w:ascii="Arial" w:eastAsia="Calibri" w:hAnsi="Arial" w:cs="Arial"/>
          <w:color w:val="000000"/>
          <w:kern w:val="0"/>
          <w:sz w:val="20"/>
          <w:szCs w:val="20"/>
          <w:lang w:val="en-GB" w:eastAsia="it-IT"/>
        </w:rPr>
        <w:t>Mohamad Nasri, N., N. Nasri, and M. A. Abd Talib. 2021. “Regional Contextualization of Culturally Responsive Online Distance Pedagogy (CRODP) among Southeast Asia Higher Educators.” Interactive Learning Environments 1-12. doi: 10.1080/10494820.2021.1967407.</w:t>
      </w:r>
    </w:p>
    <w:p w14:paraId="2DE67BF1" w14:textId="094D1BDD" w:rsidR="007D159C" w:rsidRPr="007A2839" w:rsidRDefault="007D159C" w:rsidP="007A2839">
      <w:pPr>
        <w:widowControl/>
        <w:ind w:left="426" w:hanging="426"/>
        <w:rPr>
          <w:rFonts w:ascii="Arial" w:eastAsia="Calibri" w:hAnsi="Arial" w:cs="Arial"/>
          <w:color w:val="000000"/>
          <w:kern w:val="0"/>
          <w:sz w:val="20"/>
          <w:szCs w:val="20"/>
          <w:lang w:val="en-GB" w:eastAsia="it-IT"/>
        </w:rPr>
      </w:pPr>
      <w:r w:rsidRPr="007A2839">
        <w:rPr>
          <w:rFonts w:ascii="Arial" w:eastAsia="Calibri" w:hAnsi="Arial" w:cs="Arial"/>
          <w:color w:val="000000"/>
          <w:kern w:val="0"/>
          <w:sz w:val="20"/>
          <w:szCs w:val="20"/>
          <w:lang w:val="en-GB" w:eastAsia="it-IT"/>
        </w:rPr>
        <w:t>Park, J., and R. Wen. 2016. “A Comparative Framework for Culturally Differentiated Digital Game-based Learning.” International Journal of Comparative Education and Development 18 (3): 138-149. doi: 10.1108/IJCED-04-2016-0008.</w:t>
      </w:r>
    </w:p>
    <w:p w14:paraId="7E2D9B86" w14:textId="77777777" w:rsidR="007D159C" w:rsidRPr="007A2839" w:rsidRDefault="007D159C" w:rsidP="007A2839">
      <w:pPr>
        <w:widowControl/>
        <w:ind w:left="426" w:hanging="426"/>
        <w:rPr>
          <w:rFonts w:ascii="Arial" w:eastAsia="Calibri" w:hAnsi="Arial" w:cs="Arial"/>
          <w:color w:val="000000"/>
          <w:kern w:val="0"/>
          <w:sz w:val="20"/>
          <w:szCs w:val="20"/>
          <w:lang w:val="en-GB" w:eastAsia="it-IT"/>
        </w:rPr>
      </w:pPr>
      <w:r w:rsidRPr="007A2839">
        <w:rPr>
          <w:rFonts w:ascii="Arial" w:eastAsia="Calibri" w:hAnsi="Arial" w:cs="Arial"/>
          <w:color w:val="000000"/>
          <w:kern w:val="0"/>
          <w:sz w:val="20"/>
          <w:szCs w:val="20"/>
          <w:lang w:val="en-GB" w:eastAsia="it-IT"/>
        </w:rPr>
        <w:t>Quan, G., and X. Gu. 2018. “Visualization Forms in the Cross-cultural Collaborative Activities of Design and Development of a Digital Resource for Education.” Journal of Educational Computing Research 56 (3): 439-463. doi: 10.1177/0735633117708336.</w:t>
      </w:r>
    </w:p>
    <w:p w14:paraId="0D37CFBA" w14:textId="3F48A854" w:rsidR="007D159C" w:rsidRPr="007A2839" w:rsidRDefault="007D159C" w:rsidP="007A2839">
      <w:pPr>
        <w:widowControl/>
        <w:ind w:left="426" w:hanging="426"/>
        <w:rPr>
          <w:rFonts w:ascii="Arial" w:eastAsia="Calibri" w:hAnsi="Arial" w:cs="Arial"/>
          <w:color w:val="000000"/>
          <w:kern w:val="0"/>
          <w:sz w:val="20"/>
          <w:szCs w:val="20"/>
          <w:lang w:val="en-GB" w:eastAsia="it-IT"/>
        </w:rPr>
      </w:pPr>
      <w:r w:rsidRPr="007A2839">
        <w:rPr>
          <w:rFonts w:ascii="Arial" w:eastAsia="Calibri" w:hAnsi="Arial" w:cs="Arial"/>
          <w:color w:val="000000"/>
          <w:kern w:val="0"/>
          <w:sz w:val="20"/>
          <w:szCs w:val="20"/>
          <w:lang w:val="en-GB" w:eastAsia="it-IT"/>
        </w:rPr>
        <w:t>Rubin, B. (2009). “The Best-Laid Plans.” In Handbook of Blended Shore Education, edited by Strohschen G., 261-272. Boston, MA: Springer.</w:t>
      </w:r>
    </w:p>
    <w:p w14:paraId="075068DC" w14:textId="77777777" w:rsidR="007D159C" w:rsidRPr="007A2839" w:rsidRDefault="007D159C" w:rsidP="007A2839">
      <w:pPr>
        <w:widowControl/>
        <w:ind w:left="426" w:hanging="426"/>
        <w:rPr>
          <w:rFonts w:ascii="Arial" w:eastAsia="Calibri" w:hAnsi="Arial" w:cs="Arial"/>
          <w:color w:val="000000"/>
          <w:kern w:val="0"/>
          <w:sz w:val="20"/>
          <w:szCs w:val="20"/>
          <w:lang w:val="en-GB" w:eastAsia="it-IT"/>
        </w:rPr>
      </w:pPr>
      <w:r w:rsidRPr="007A2839">
        <w:rPr>
          <w:rFonts w:ascii="Arial" w:eastAsia="Calibri" w:hAnsi="Arial" w:cs="Arial"/>
          <w:color w:val="000000"/>
          <w:kern w:val="0"/>
          <w:sz w:val="20"/>
          <w:szCs w:val="20"/>
          <w:lang w:val="en-GB" w:eastAsia="it-IT"/>
        </w:rPr>
        <w:t>Shamir</w:t>
      </w:r>
      <w:r w:rsidRPr="007A2839">
        <w:rPr>
          <w:rFonts w:ascii="Arial" w:eastAsia="Calibri" w:hAnsi="Arial" w:cs="Arial" w:hint="eastAsia"/>
          <w:color w:val="000000"/>
          <w:kern w:val="0"/>
          <w:sz w:val="20"/>
          <w:szCs w:val="20"/>
          <w:lang w:val="en-GB" w:eastAsia="it-IT"/>
        </w:rPr>
        <w:t>‐</w:t>
      </w:r>
      <w:r w:rsidRPr="007A2839">
        <w:rPr>
          <w:rFonts w:ascii="Arial" w:eastAsia="Calibri" w:hAnsi="Arial" w:cs="Arial"/>
          <w:color w:val="000000"/>
          <w:kern w:val="0"/>
          <w:sz w:val="20"/>
          <w:szCs w:val="20"/>
          <w:lang w:val="en-GB" w:eastAsia="it-IT"/>
        </w:rPr>
        <w:t>Inbal, T. and I. Blau. 2021. “Characteristics of Pedagogical Change in Integrating Digital Collaborative Learning and Their Sustainability in a School Culture: E</w:t>
      </w:r>
      <w:r w:rsidRPr="007A2839">
        <w:rPr>
          <w:rFonts w:ascii="Arial" w:eastAsia="Calibri" w:hAnsi="Arial" w:cs="Arial" w:hint="eastAsia"/>
          <w:color w:val="000000"/>
          <w:kern w:val="0"/>
          <w:sz w:val="20"/>
          <w:szCs w:val="20"/>
          <w:lang w:val="en-GB" w:eastAsia="it-IT"/>
        </w:rPr>
        <w:t>‐</w:t>
      </w:r>
      <w:r w:rsidRPr="007A2839">
        <w:rPr>
          <w:rFonts w:ascii="Arial" w:eastAsia="Calibri" w:hAnsi="Arial" w:cs="Arial"/>
          <w:color w:val="000000"/>
          <w:kern w:val="0"/>
          <w:sz w:val="20"/>
          <w:szCs w:val="20"/>
          <w:lang w:val="en-GB" w:eastAsia="it-IT"/>
        </w:rPr>
        <w:t>CSAMR Framework.” Journal of Computer Assisted Learning 37 (3): 825-838. doi: 10.1111/jcal.12526.</w:t>
      </w:r>
    </w:p>
    <w:p w14:paraId="32D36A8F" w14:textId="77777777" w:rsidR="007D159C" w:rsidRPr="007A2839" w:rsidRDefault="007D159C" w:rsidP="007A2839">
      <w:pPr>
        <w:widowControl/>
        <w:ind w:left="426" w:hanging="426"/>
        <w:rPr>
          <w:rFonts w:ascii="Arial" w:eastAsia="Calibri" w:hAnsi="Arial" w:cs="Arial"/>
          <w:color w:val="000000"/>
          <w:kern w:val="0"/>
          <w:sz w:val="20"/>
          <w:szCs w:val="20"/>
          <w:lang w:val="en-GB" w:eastAsia="it-IT"/>
        </w:rPr>
      </w:pPr>
      <w:r w:rsidRPr="007A2839">
        <w:rPr>
          <w:rFonts w:ascii="Arial" w:eastAsia="Calibri" w:hAnsi="Arial" w:cs="Arial"/>
          <w:color w:val="000000"/>
          <w:kern w:val="0"/>
          <w:sz w:val="20"/>
          <w:szCs w:val="20"/>
          <w:lang w:val="en-GB" w:eastAsia="it-IT"/>
        </w:rPr>
        <w:t>Stefanova, A., and A. G. Jiménez. 2019. “Building Bridges between Cultures-An Experiment with Collaborative Online International Learning (COIL)”. Journal of Teaching English for Specific and Academic Purposes 6 (3): 535-542. doi: 10.22190/JTESAP1803535S.</w:t>
      </w:r>
    </w:p>
    <w:p w14:paraId="546EBE69" w14:textId="77777777" w:rsidR="007D159C" w:rsidRPr="007A2839" w:rsidRDefault="007D159C" w:rsidP="007A2839">
      <w:pPr>
        <w:widowControl/>
        <w:ind w:left="426" w:hanging="426"/>
        <w:rPr>
          <w:rFonts w:ascii="Arial" w:eastAsia="Calibri" w:hAnsi="Arial" w:cs="Arial"/>
          <w:color w:val="000000"/>
          <w:kern w:val="0"/>
          <w:sz w:val="20"/>
          <w:szCs w:val="20"/>
          <w:lang w:val="en-GB" w:eastAsia="it-IT"/>
        </w:rPr>
      </w:pPr>
      <w:r w:rsidRPr="007A2839">
        <w:rPr>
          <w:rFonts w:ascii="Arial" w:eastAsia="Calibri" w:hAnsi="Arial" w:cs="Arial"/>
          <w:color w:val="000000"/>
          <w:kern w:val="0"/>
          <w:sz w:val="20"/>
          <w:szCs w:val="20"/>
          <w:lang w:val="en-GB" w:eastAsia="it-IT"/>
        </w:rPr>
        <w:lastRenderedPageBreak/>
        <w:t xml:space="preserve">Van Boeijen, A. 2016. “Culture Specific or Global Design in Open Online Design Education.” Paper presented at International Conference on Engineering and Product Design Education, Denmark: Aalborg University, September 8-9. </w:t>
      </w:r>
    </w:p>
    <w:p w14:paraId="3479A350" w14:textId="3B470F7C" w:rsidR="007D159C" w:rsidRPr="007A2839" w:rsidRDefault="007D159C" w:rsidP="007A2839">
      <w:pPr>
        <w:widowControl/>
        <w:ind w:left="426" w:hanging="426"/>
        <w:rPr>
          <w:rFonts w:ascii="Arial" w:eastAsia="Calibri" w:hAnsi="Arial" w:cs="Arial"/>
          <w:color w:val="000000"/>
          <w:kern w:val="0"/>
          <w:sz w:val="20"/>
          <w:szCs w:val="20"/>
          <w:lang w:val="en-GB" w:eastAsia="it-IT"/>
        </w:rPr>
      </w:pPr>
      <w:r w:rsidRPr="007A2839">
        <w:rPr>
          <w:rFonts w:ascii="Arial" w:eastAsia="Calibri" w:hAnsi="Arial" w:cs="Arial"/>
          <w:color w:val="000000"/>
          <w:kern w:val="0"/>
          <w:sz w:val="20"/>
          <w:szCs w:val="20"/>
          <w:lang w:val="en-GB" w:eastAsia="it-IT"/>
        </w:rPr>
        <w:t>Warren, A. N. 2018. “Exploring Experienced Teachers’ Constructions of Culturally and Linguistically Diverse Students in an Online Class.” International Journal of Multicultural Education 20 (2): 58-80. doi: 10.18251/ijme.v20i2.1586.</w:t>
      </w:r>
    </w:p>
    <w:p w14:paraId="112372D8" w14:textId="15506540" w:rsidR="00B72CF6" w:rsidRPr="007A2839" w:rsidRDefault="007D159C" w:rsidP="007A2839">
      <w:pPr>
        <w:widowControl/>
        <w:ind w:left="426" w:hanging="426"/>
        <w:rPr>
          <w:rFonts w:ascii="Arial" w:eastAsia="Calibri" w:hAnsi="Arial" w:cs="Arial" w:hint="eastAsia"/>
          <w:color w:val="000000"/>
          <w:kern w:val="0"/>
          <w:sz w:val="20"/>
          <w:szCs w:val="20"/>
          <w:lang w:val="en-GB" w:eastAsia="it-IT"/>
        </w:rPr>
      </w:pPr>
      <w:r w:rsidRPr="007A2839">
        <w:rPr>
          <w:rFonts w:ascii="Arial" w:eastAsia="Calibri" w:hAnsi="Arial" w:cs="Arial"/>
          <w:color w:val="000000"/>
          <w:kern w:val="0"/>
          <w:sz w:val="20"/>
          <w:szCs w:val="20"/>
          <w:lang w:val="en-GB" w:eastAsia="it-IT"/>
        </w:rPr>
        <w:t>Yang, D., L. Olesova, and J. C. Richardson. 2010. “Impact of Cultural Differences on Students' Participation, Communication, and Learning in an Online Environment.” Journal of Educational Computing Research 43 (2): 165-182. doi: 10.2190/EC.43.2.b.</w:t>
      </w:r>
    </w:p>
    <w:sectPr w:rsidR="00B72CF6" w:rsidRPr="007A2839">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5C5A4" w14:textId="77777777" w:rsidR="00A44C99" w:rsidRDefault="00A44C99" w:rsidP="00433AC2">
      <w:r>
        <w:separator/>
      </w:r>
    </w:p>
  </w:endnote>
  <w:endnote w:type="continuationSeparator" w:id="0">
    <w:p w14:paraId="532A9ADA" w14:textId="77777777" w:rsidR="00A44C99" w:rsidRDefault="00A44C99" w:rsidP="00433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100F1" w14:textId="77777777" w:rsidR="00A44C99" w:rsidRDefault="00A44C99" w:rsidP="00433AC2">
      <w:r>
        <w:separator/>
      </w:r>
    </w:p>
  </w:footnote>
  <w:footnote w:type="continuationSeparator" w:id="0">
    <w:p w14:paraId="48B37B8D" w14:textId="77777777" w:rsidR="00A44C99" w:rsidRDefault="00A44C99" w:rsidP="00433A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11302"/>
    <w:multiLevelType w:val="hybridMultilevel"/>
    <w:tmpl w:val="F12A7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B762CA"/>
    <w:multiLevelType w:val="hybridMultilevel"/>
    <w:tmpl w:val="54EA0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B56729"/>
    <w:multiLevelType w:val="hybridMultilevel"/>
    <w:tmpl w:val="BAB2D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FA3C82"/>
    <w:multiLevelType w:val="hybridMultilevel"/>
    <w:tmpl w:val="238E4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99250707">
    <w:abstractNumId w:val="0"/>
  </w:num>
  <w:num w:numId="2" w16cid:durableId="428165584">
    <w:abstractNumId w:val="2"/>
  </w:num>
  <w:num w:numId="3" w16cid:durableId="1205950581">
    <w:abstractNumId w:val="1"/>
  </w:num>
  <w:num w:numId="4" w16cid:durableId="943684618">
    <w:abstractNumId w:val="3"/>
  </w:num>
  <w:num w:numId="5" w16cid:durableId="1270815068">
    <w:abstractNumId w:val="1"/>
  </w:num>
  <w:num w:numId="6" w16cid:durableId="20761199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hyphenationZone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694"/>
    <w:rsid w:val="0000469B"/>
    <w:rsid w:val="00005191"/>
    <w:rsid w:val="000063A8"/>
    <w:rsid w:val="00007609"/>
    <w:rsid w:val="00011B04"/>
    <w:rsid w:val="00011BC7"/>
    <w:rsid w:val="00013E9A"/>
    <w:rsid w:val="00015A2A"/>
    <w:rsid w:val="00016E89"/>
    <w:rsid w:val="000173ED"/>
    <w:rsid w:val="000268BC"/>
    <w:rsid w:val="00033B18"/>
    <w:rsid w:val="00034281"/>
    <w:rsid w:val="000353B5"/>
    <w:rsid w:val="00036A2A"/>
    <w:rsid w:val="00053C28"/>
    <w:rsid w:val="0006136C"/>
    <w:rsid w:val="00061CB0"/>
    <w:rsid w:val="00062E63"/>
    <w:rsid w:val="00064A28"/>
    <w:rsid w:val="00066561"/>
    <w:rsid w:val="00076506"/>
    <w:rsid w:val="00076BAB"/>
    <w:rsid w:val="000834FC"/>
    <w:rsid w:val="00085C4A"/>
    <w:rsid w:val="00092B9D"/>
    <w:rsid w:val="00096B56"/>
    <w:rsid w:val="00096DCC"/>
    <w:rsid w:val="000A725B"/>
    <w:rsid w:val="000B03BE"/>
    <w:rsid w:val="000B1E9A"/>
    <w:rsid w:val="000B4633"/>
    <w:rsid w:val="000B59EE"/>
    <w:rsid w:val="000B7EC4"/>
    <w:rsid w:val="000C3EB5"/>
    <w:rsid w:val="000C4523"/>
    <w:rsid w:val="000C4C81"/>
    <w:rsid w:val="000C7A3C"/>
    <w:rsid w:val="000D0CB0"/>
    <w:rsid w:val="000D103C"/>
    <w:rsid w:val="000D73B9"/>
    <w:rsid w:val="000E690D"/>
    <w:rsid w:val="000F18BC"/>
    <w:rsid w:val="00101A9A"/>
    <w:rsid w:val="001021C3"/>
    <w:rsid w:val="00103F3F"/>
    <w:rsid w:val="001047C7"/>
    <w:rsid w:val="00106C90"/>
    <w:rsid w:val="001104DD"/>
    <w:rsid w:val="00111D18"/>
    <w:rsid w:val="001139CE"/>
    <w:rsid w:val="001143F6"/>
    <w:rsid w:val="001167A5"/>
    <w:rsid w:val="001169E8"/>
    <w:rsid w:val="00116A52"/>
    <w:rsid w:val="00116D3D"/>
    <w:rsid w:val="001205B6"/>
    <w:rsid w:val="00120C33"/>
    <w:rsid w:val="00122022"/>
    <w:rsid w:val="00124FA9"/>
    <w:rsid w:val="001303FC"/>
    <w:rsid w:val="001320F9"/>
    <w:rsid w:val="0013304F"/>
    <w:rsid w:val="0013400E"/>
    <w:rsid w:val="00134553"/>
    <w:rsid w:val="00134E98"/>
    <w:rsid w:val="00135FA2"/>
    <w:rsid w:val="00140292"/>
    <w:rsid w:val="00140C01"/>
    <w:rsid w:val="001479C3"/>
    <w:rsid w:val="001521A2"/>
    <w:rsid w:val="00175459"/>
    <w:rsid w:val="00176389"/>
    <w:rsid w:val="001770F6"/>
    <w:rsid w:val="0019107F"/>
    <w:rsid w:val="00191D1E"/>
    <w:rsid w:val="00194FE0"/>
    <w:rsid w:val="0019587D"/>
    <w:rsid w:val="001A1445"/>
    <w:rsid w:val="001A3424"/>
    <w:rsid w:val="001A4A5D"/>
    <w:rsid w:val="001B0841"/>
    <w:rsid w:val="001B25EC"/>
    <w:rsid w:val="001C037B"/>
    <w:rsid w:val="001C1D20"/>
    <w:rsid w:val="001D60EE"/>
    <w:rsid w:val="001E2833"/>
    <w:rsid w:val="001E3C61"/>
    <w:rsid w:val="001F1FE1"/>
    <w:rsid w:val="001F7777"/>
    <w:rsid w:val="0020041E"/>
    <w:rsid w:val="00202A38"/>
    <w:rsid w:val="002067A6"/>
    <w:rsid w:val="002103AB"/>
    <w:rsid w:val="00210FC4"/>
    <w:rsid w:val="002120FF"/>
    <w:rsid w:val="002154B7"/>
    <w:rsid w:val="002171F3"/>
    <w:rsid w:val="002264D5"/>
    <w:rsid w:val="00226F52"/>
    <w:rsid w:val="00232A58"/>
    <w:rsid w:val="00242DE1"/>
    <w:rsid w:val="00245908"/>
    <w:rsid w:val="00246659"/>
    <w:rsid w:val="00246FEB"/>
    <w:rsid w:val="00250040"/>
    <w:rsid w:val="0025007E"/>
    <w:rsid w:val="00256B15"/>
    <w:rsid w:val="00260E67"/>
    <w:rsid w:val="00262AEE"/>
    <w:rsid w:val="00263123"/>
    <w:rsid w:val="002707D5"/>
    <w:rsid w:val="0027091D"/>
    <w:rsid w:val="00275B11"/>
    <w:rsid w:val="0027753F"/>
    <w:rsid w:val="00282336"/>
    <w:rsid w:val="00283514"/>
    <w:rsid w:val="0028609E"/>
    <w:rsid w:val="002915A0"/>
    <w:rsid w:val="00291BC1"/>
    <w:rsid w:val="00293189"/>
    <w:rsid w:val="00294E51"/>
    <w:rsid w:val="002A2AE6"/>
    <w:rsid w:val="002A346A"/>
    <w:rsid w:val="002A4A42"/>
    <w:rsid w:val="002A641B"/>
    <w:rsid w:val="002A7BBB"/>
    <w:rsid w:val="002C2370"/>
    <w:rsid w:val="002C55AB"/>
    <w:rsid w:val="002D6C14"/>
    <w:rsid w:val="002E2D34"/>
    <w:rsid w:val="002F1B91"/>
    <w:rsid w:val="002F304E"/>
    <w:rsid w:val="002F529A"/>
    <w:rsid w:val="002F6469"/>
    <w:rsid w:val="002F78EB"/>
    <w:rsid w:val="0030392C"/>
    <w:rsid w:val="00307C81"/>
    <w:rsid w:val="003153C0"/>
    <w:rsid w:val="0032186D"/>
    <w:rsid w:val="00323524"/>
    <w:rsid w:val="003242C1"/>
    <w:rsid w:val="003250D2"/>
    <w:rsid w:val="00325434"/>
    <w:rsid w:val="00330465"/>
    <w:rsid w:val="00331CE4"/>
    <w:rsid w:val="00332003"/>
    <w:rsid w:val="0033382D"/>
    <w:rsid w:val="003363A4"/>
    <w:rsid w:val="00341468"/>
    <w:rsid w:val="003446BF"/>
    <w:rsid w:val="00346DD6"/>
    <w:rsid w:val="00350E18"/>
    <w:rsid w:val="00352F60"/>
    <w:rsid w:val="0035375D"/>
    <w:rsid w:val="00361774"/>
    <w:rsid w:val="003618F2"/>
    <w:rsid w:val="00362431"/>
    <w:rsid w:val="0036544C"/>
    <w:rsid w:val="00365D72"/>
    <w:rsid w:val="00367954"/>
    <w:rsid w:val="00371E92"/>
    <w:rsid w:val="00372984"/>
    <w:rsid w:val="003734A9"/>
    <w:rsid w:val="00382641"/>
    <w:rsid w:val="00386863"/>
    <w:rsid w:val="0039329B"/>
    <w:rsid w:val="0039629B"/>
    <w:rsid w:val="00396F71"/>
    <w:rsid w:val="003A15D0"/>
    <w:rsid w:val="003A162F"/>
    <w:rsid w:val="003A3CD8"/>
    <w:rsid w:val="003B4578"/>
    <w:rsid w:val="003B4B20"/>
    <w:rsid w:val="003B4C71"/>
    <w:rsid w:val="003B6BAA"/>
    <w:rsid w:val="003C2FCD"/>
    <w:rsid w:val="003C5C32"/>
    <w:rsid w:val="003D1307"/>
    <w:rsid w:val="003D71C0"/>
    <w:rsid w:val="003D720B"/>
    <w:rsid w:val="003E2A13"/>
    <w:rsid w:val="003E4D1C"/>
    <w:rsid w:val="003E525A"/>
    <w:rsid w:val="003F741F"/>
    <w:rsid w:val="0040056C"/>
    <w:rsid w:val="004026EF"/>
    <w:rsid w:val="00402B46"/>
    <w:rsid w:val="004033DD"/>
    <w:rsid w:val="004063CF"/>
    <w:rsid w:val="00413411"/>
    <w:rsid w:val="00413EAF"/>
    <w:rsid w:val="00421133"/>
    <w:rsid w:val="004263EC"/>
    <w:rsid w:val="00426E69"/>
    <w:rsid w:val="00430896"/>
    <w:rsid w:val="00431592"/>
    <w:rsid w:val="00433AC2"/>
    <w:rsid w:val="00436A7C"/>
    <w:rsid w:val="00437E2F"/>
    <w:rsid w:val="00440AD6"/>
    <w:rsid w:val="00442934"/>
    <w:rsid w:val="00445E46"/>
    <w:rsid w:val="0044737B"/>
    <w:rsid w:val="00450121"/>
    <w:rsid w:val="00456350"/>
    <w:rsid w:val="0045650C"/>
    <w:rsid w:val="0046633A"/>
    <w:rsid w:val="004678FB"/>
    <w:rsid w:val="00472E7D"/>
    <w:rsid w:val="004739E0"/>
    <w:rsid w:val="00474999"/>
    <w:rsid w:val="00474E50"/>
    <w:rsid w:val="00477B7D"/>
    <w:rsid w:val="004825B8"/>
    <w:rsid w:val="004828A8"/>
    <w:rsid w:val="00490A9E"/>
    <w:rsid w:val="0049444E"/>
    <w:rsid w:val="00497FC3"/>
    <w:rsid w:val="004A10B7"/>
    <w:rsid w:val="004B0C5B"/>
    <w:rsid w:val="004B15FD"/>
    <w:rsid w:val="004B26ED"/>
    <w:rsid w:val="004B3165"/>
    <w:rsid w:val="004B388C"/>
    <w:rsid w:val="004B5BB8"/>
    <w:rsid w:val="004C36A1"/>
    <w:rsid w:val="004D12DE"/>
    <w:rsid w:val="004D130B"/>
    <w:rsid w:val="004D5F72"/>
    <w:rsid w:val="004E324F"/>
    <w:rsid w:val="004E667E"/>
    <w:rsid w:val="004F19D9"/>
    <w:rsid w:val="004F2425"/>
    <w:rsid w:val="004F5AFB"/>
    <w:rsid w:val="004F7778"/>
    <w:rsid w:val="004F7A8F"/>
    <w:rsid w:val="00513055"/>
    <w:rsid w:val="005212E7"/>
    <w:rsid w:val="00521441"/>
    <w:rsid w:val="0052324F"/>
    <w:rsid w:val="00524887"/>
    <w:rsid w:val="00532A17"/>
    <w:rsid w:val="00537413"/>
    <w:rsid w:val="005439D9"/>
    <w:rsid w:val="005462E9"/>
    <w:rsid w:val="00555C6A"/>
    <w:rsid w:val="00556B51"/>
    <w:rsid w:val="0057125E"/>
    <w:rsid w:val="00574AFB"/>
    <w:rsid w:val="005778CE"/>
    <w:rsid w:val="00587E59"/>
    <w:rsid w:val="005904CC"/>
    <w:rsid w:val="00591125"/>
    <w:rsid w:val="005914FE"/>
    <w:rsid w:val="005921A5"/>
    <w:rsid w:val="00592C29"/>
    <w:rsid w:val="00593268"/>
    <w:rsid w:val="00594632"/>
    <w:rsid w:val="005A1E31"/>
    <w:rsid w:val="005A31E5"/>
    <w:rsid w:val="005A354F"/>
    <w:rsid w:val="005A72E2"/>
    <w:rsid w:val="005B19DC"/>
    <w:rsid w:val="005B3D26"/>
    <w:rsid w:val="005B524D"/>
    <w:rsid w:val="005C274E"/>
    <w:rsid w:val="005C309B"/>
    <w:rsid w:val="005C5367"/>
    <w:rsid w:val="005D3614"/>
    <w:rsid w:val="005D3C21"/>
    <w:rsid w:val="005E16C1"/>
    <w:rsid w:val="005E3126"/>
    <w:rsid w:val="005E39D5"/>
    <w:rsid w:val="005E6B18"/>
    <w:rsid w:val="005F3E10"/>
    <w:rsid w:val="005F4C26"/>
    <w:rsid w:val="005F53E6"/>
    <w:rsid w:val="006021B4"/>
    <w:rsid w:val="00602415"/>
    <w:rsid w:val="00602F35"/>
    <w:rsid w:val="0060332A"/>
    <w:rsid w:val="00604E6F"/>
    <w:rsid w:val="00604E94"/>
    <w:rsid w:val="0060654C"/>
    <w:rsid w:val="00612138"/>
    <w:rsid w:val="00612470"/>
    <w:rsid w:val="00615F79"/>
    <w:rsid w:val="00622898"/>
    <w:rsid w:val="00623083"/>
    <w:rsid w:val="00623B81"/>
    <w:rsid w:val="0063427C"/>
    <w:rsid w:val="00644440"/>
    <w:rsid w:val="00645039"/>
    <w:rsid w:val="006462C8"/>
    <w:rsid w:val="00652EBF"/>
    <w:rsid w:val="00653819"/>
    <w:rsid w:val="00660399"/>
    <w:rsid w:val="00660E87"/>
    <w:rsid w:val="0066145C"/>
    <w:rsid w:val="0066376B"/>
    <w:rsid w:val="00663AFB"/>
    <w:rsid w:val="0066512E"/>
    <w:rsid w:val="006655A6"/>
    <w:rsid w:val="00665DA2"/>
    <w:rsid w:val="0066644F"/>
    <w:rsid w:val="006721DF"/>
    <w:rsid w:val="006725A9"/>
    <w:rsid w:val="00672A02"/>
    <w:rsid w:val="006731F6"/>
    <w:rsid w:val="00673BF0"/>
    <w:rsid w:val="0067431A"/>
    <w:rsid w:val="00675DDF"/>
    <w:rsid w:val="00675F33"/>
    <w:rsid w:val="006761A7"/>
    <w:rsid w:val="006768B0"/>
    <w:rsid w:val="00676A3E"/>
    <w:rsid w:val="00683900"/>
    <w:rsid w:val="0068541D"/>
    <w:rsid w:val="0068690C"/>
    <w:rsid w:val="00690E18"/>
    <w:rsid w:val="00694A77"/>
    <w:rsid w:val="006974F0"/>
    <w:rsid w:val="006A0A98"/>
    <w:rsid w:val="006A17CB"/>
    <w:rsid w:val="006B1759"/>
    <w:rsid w:val="006B24B9"/>
    <w:rsid w:val="006B2BAC"/>
    <w:rsid w:val="006C4391"/>
    <w:rsid w:val="006C604E"/>
    <w:rsid w:val="006D409E"/>
    <w:rsid w:val="006E2660"/>
    <w:rsid w:val="006E42A4"/>
    <w:rsid w:val="006E4680"/>
    <w:rsid w:val="006E768C"/>
    <w:rsid w:val="006F1334"/>
    <w:rsid w:val="006F2447"/>
    <w:rsid w:val="006F3D3A"/>
    <w:rsid w:val="006F70E1"/>
    <w:rsid w:val="0070092E"/>
    <w:rsid w:val="00703D92"/>
    <w:rsid w:val="007048E5"/>
    <w:rsid w:val="0071244D"/>
    <w:rsid w:val="0071325F"/>
    <w:rsid w:val="00720A27"/>
    <w:rsid w:val="00724003"/>
    <w:rsid w:val="007422E5"/>
    <w:rsid w:val="007431FD"/>
    <w:rsid w:val="00757A5C"/>
    <w:rsid w:val="00761765"/>
    <w:rsid w:val="007636AB"/>
    <w:rsid w:val="007719F1"/>
    <w:rsid w:val="007736B5"/>
    <w:rsid w:val="00773A73"/>
    <w:rsid w:val="00774BEC"/>
    <w:rsid w:val="00774F4E"/>
    <w:rsid w:val="00781668"/>
    <w:rsid w:val="0078266D"/>
    <w:rsid w:val="00782E96"/>
    <w:rsid w:val="00783388"/>
    <w:rsid w:val="00783F29"/>
    <w:rsid w:val="007841D3"/>
    <w:rsid w:val="00785970"/>
    <w:rsid w:val="007916D9"/>
    <w:rsid w:val="00791B57"/>
    <w:rsid w:val="007A08C7"/>
    <w:rsid w:val="007A2839"/>
    <w:rsid w:val="007A2D16"/>
    <w:rsid w:val="007A3D22"/>
    <w:rsid w:val="007A5C68"/>
    <w:rsid w:val="007B1796"/>
    <w:rsid w:val="007B5631"/>
    <w:rsid w:val="007B6844"/>
    <w:rsid w:val="007B6A56"/>
    <w:rsid w:val="007B6C0A"/>
    <w:rsid w:val="007C47F7"/>
    <w:rsid w:val="007C7520"/>
    <w:rsid w:val="007D159C"/>
    <w:rsid w:val="007D20A4"/>
    <w:rsid w:val="007E4002"/>
    <w:rsid w:val="007E550F"/>
    <w:rsid w:val="007E5DE2"/>
    <w:rsid w:val="007E6856"/>
    <w:rsid w:val="007F24BB"/>
    <w:rsid w:val="007F328D"/>
    <w:rsid w:val="007F495A"/>
    <w:rsid w:val="00800C99"/>
    <w:rsid w:val="008013BF"/>
    <w:rsid w:val="00802C49"/>
    <w:rsid w:val="008035BB"/>
    <w:rsid w:val="00803CB1"/>
    <w:rsid w:val="008048FB"/>
    <w:rsid w:val="00805807"/>
    <w:rsid w:val="008068A8"/>
    <w:rsid w:val="00807526"/>
    <w:rsid w:val="008076FF"/>
    <w:rsid w:val="00810EE7"/>
    <w:rsid w:val="008149AA"/>
    <w:rsid w:val="008149F0"/>
    <w:rsid w:val="008166BC"/>
    <w:rsid w:val="008172DA"/>
    <w:rsid w:val="00820E1D"/>
    <w:rsid w:val="00822F03"/>
    <w:rsid w:val="00832A88"/>
    <w:rsid w:val="008349A0"/>
    <w:rsid w:val="008361FF"/>
    <w:rsid w:val="008403C3"/>
    <w:rsid w:val="00841E6B"/>
    <w:rsid w:val="00842665"/>
    <w:rsid w:val="00847D83"/>
    <w:rsid w:val="008505CD"/>
    <w:rsid w:val="00851399"/>
    <w:rsid w:val="008556E1"/>
    <w:rsid w:val="00863F2C"/>
    <w:rsid w:val="00863F3F"/>
    <w:rsid w:val="00865381"/>
    <w:rsid w:val="0086560B"/>
    <w:rsid w:val="00866692"/>
    <w:rsid w:val="00870A1E"/>
    <w:rsid w:val="00876E60"/>
    <w:rsid w:val="00885DF8"/>
    <w:rsid w:val="008869C0"/>
    <w:rsid w:val="00887387"/>
    <w:rsid w:val="00893EC9"/>
    <w:rsid w:val="008A651A"/>
    <w:rsid w:val="008B0B3E"/>
    <w:rsid w:val="008B1CDD"/>
    <w:rsid w:val="008B21E6"/>
    <w:rsid w:val="008B32FF"/>
    <w:rsid w:val="008B3F8E"/>
    <w:rsid w:val="008B7077"/>
    <w:rsid w:val="008C2180"/>
    <w:rsid w:val="008C23C0"/>
    <w:rsid w:val="008C303E"/>
    <w:rsid w:val="008C5767"/>
    <w:rsid w:val="008C58D8"/>
    <w:rsid w:val="008D1412"/>
    <w:rsid w:val="008D4DEC"/>
    <w:rsid w:val="008E19DE"/>
    <w:rsid w:val="008E25F5"/>
    <w:rsid w:val="008E27A9"/>
    <w:rsid w:val="008E6772"/>
    <w:rsid w:val="008E6BBB"/>
    <w:rsid w:val="008E7016"/>
    <w:rsid w:val="008E73AE"/>
    <w:rsid w:val="008E7D7D"/>
    <w:rsid w:val="008F046E"/>
    <w:rsid w:val="008F589C"/>
    <w:rsid w:val="00900B70"/>
    <w:rsid w:val="00900E8E"/>
    <w:rsid w:val="009038E5"/>
    <w:rsid w:val="00903DED"/>
    <w:rsid w:val="00905EBA"/>
    <w:rsid w:val="00912709"/>
    <w:rsid w:val="00913528"/>
    <w:rsid w:val="0091580B"/>
    <w:rsid w:val="00915DD8"/>
    <w:rsid w:val="00917B55"/>
    <w:rsid w:val="009216F3"/>
    <w:rsid w:val="00925979"/>
    <w:rsid w:val="00927C6A"/>
    <w:rsid w:val="0093235B"/>
    <w:rsid w:val="00932FC0"/>
    <w:rsid w:val="00933AFA"/>
    <w:rsid w:val="009501BA"/>
    <w:rsid w:val="00950720"/>
    <w:rsid w:val="0095201A"/>
    <w:rsid w:val="00955B89"/>
    <w:rsid w:val="009571DC"/>
    <w:rsid w:val="00960253"/>
    <w:rsid w:val="0096448F"/>
    <w:rsid w:val="00964953"/>
    <w:rsid w:val="00970F29"/>
    <w:rsid w:val="0097757C"/>
    <w:rsid w:val="00977730"/>
    <w:rsid w:val="00984FED"/>
    <w:rsid w:val="00985A78"/>
    <w:rsid w:val="00990479"/>
    <w:rsid w:val="00991772"/>
    <w:rsid w:val="00997544"/>
    <w:rsid w:val="009A5D68"/>
    <w:rsid w:val="009B190A"/>
    <w:rsid w:val="009B2765"/>
    <w:rsid w:val="009B28BA"/>
    <w:rsid w:val="009B5634"/>
    <w:rsid w:val="009C27F0"/>
    <w:rsid w:val="009C2B2D"/>
    <w:rsid w:val="009C3DE2"/>
    <w:rsid w:val="009C44D9"/>
    <w:rsid w:val="009D2F84"/>
    <w:rsid w:val="009D2FD0"/>
    <w:rsid w:val="009D448B"/>
    <w:rsid w:val="009D5DEC"/>
    <w:rsid w:val="009E403A"/>
    <w:rsid w:val="009E5000"/>
    <w:rsid w:val="009E5460"/>
    <w:rsid w:val="009E6E4C"/>
    <w:rsid w:val="009E78CF"/>
    <w:rsid w:val="009E7B4B"/>
    <w:rsid w:val="009F0249"/>
    <w:rsid w:val="009F317E"/>
    <w:rsid w:val="009F4244"/>
    <w:rsid w:val="009F43CA"/>
    <w:rsid w:val="009F63D0"/>
    <w:rsid w:val="00A05A0C"/>
    <w:rsid w:val="00A05D54"/>
    <w:rsid w:val="00A06D3A"/>
    <w:rsid w:val="00A07DB9"/>
    <w:rsid w:val="00A13217"/>
    <w:rsid w:val="00A1493C"/>
    <w:rsid w:val="00A14B9B"/>
    <w:rsid w:val="00A2018B"/>
    <w:rsid w:val="00A217E6"/>
    <w:rsid w:val="00A23880"/>
    <w:rsid w:val="00A24C87"/>
    <w:rsid w:val="00A25BF6"/>
    <w:rsid w:val="00A32E02"/>
    <w:rsid w:val="00A33BAF"/>
    <w:rsid w:val="00A3530B"/>
    <w:rsid w:val="00A36A9A"/>
    <w:rsid w:val="00A374B6"/>
    <w:rsid w:val="00A4300E"/>
    <w:rsid w:val="00A44C99"/>
    <w:rsid w:val="00A45511"/>
    <w:rsid w:val="00A53764"/>
    <w:rsid w:val="00A61499"/>
    <w:rsid w:val="00A64DA4"/>
    <w:rsid w:val="00A66BE9"/>
    <w:rsid w:val="00A66C02"/>
    <w:rsid w:val="00A73AD2"/>
    <w:rsid w:val="00A7580D"/>
    <w:rsid w:val="00A807A1"/>
    <w:rsid w:val="00A807CF"/>
    <w:rsid w:val="00A84A96"/>
    <w:rsid w:val="00A86811"/>
    <w:rsid w:val="00A96694"/>
    <w:rsid w:val="00AA527C"/>
    <w:rsid w:val="00AA56EA"/>
    <w:rsid w:val="00AA6D33"/>
    <w:rsid w:val="00AB16E2"/>
    <w:rsid w:val="00AB4B44"/>
    <w:rsid w:val="00AB6110"/>
    <w:rsid w:val="00AB7240"/>
    <w:rsid w:val="00AC2934"/>
    <w:rsid w:val="00AC3F64"/>
    <w:rsid w:val="00AC5894"/>
    <w:rsid w:val="00AC65C8"/>
    <w:rsid w:val="00AD387C"/>
    <w:rsid w:val="00AD593C"/>
    <w:rsid w:val="00AD644E"/>
    <w:rsid w:val="00AE3373"/>
    <w:rsid w:val="00AE4CBF"/>
    <w:rsid w:val="00AE5C48"/>
    <w:rsid w:val="00AE63B1"/>
    <w:rsid w:val="00AF2502"/>
    <w:rsid w:val="00AF5103"/>
    <w:rsid w:val="00AF5848"/>
    <w:rsid w:val="00AF5DBA"/>
    <w:rsid w:val="00AF6F81"/>
    <w:rsid w:val="00B01805"/>
    <w:rsid w:val="00B01C24"/>
    <w:rsid w:val="00B05799"/>
    <w:rsid w:val="00B10CCA"/>
    <w:rsid w:val="00B11C9D"/>
    <w:rsid w:val="00B1540C"/>
    <w:rsid w:val="00B17AB7"/>
    <w:rsid w:val="00B24D7A"/>
    <w:rsid w:val="00B2523C"/>
    <w:rsid w:val="00B27F2B"/>
    <w:rsid w:val="00B3343C"/>
    <w:rsid w:val="00B41C7B"/>
    <w:rsid w:val="00B44BE1"/>
    <w:rsid w:val="00B467A6"/>
    <w:rsid w:val="00B56126"/>
    <w:rsid w:val="00B5622B"/>
    <w:rsid w:val="00B6211F"/>
    <w:rsid w:val="00B64C39"/>
    <w:rsid w:val="00B72CF6"/>
    <w:rsid w:val="00B74749"/>
    <w:rsid w:val="00B756D4"/>
    <w:rsid w:val="00B77F11"/>
    <w:rsid w:val="00B85562"/>
    <w:rsid w:val="00B86B7A"/>
    <w:rsid w:val="00B92F92"/>
    <w:rsid w:val="00B94912"/>
    <w:rsid w:val="00B9552D"/>
    <w:rsid w:val="00BA1838"/>
    <w:rsid w:val="00BA1B16"/>
    <w:rsid w:val="00BB14C2"/>
    <w:rsid w:val="00BB1CB2"/>
    <w:rsid w:val="00BB473F"/>
    <w:rsid w:val="00BB640D"/>
    <w:rsid w:val="00BC3009"/>
    <w:rsid w:val="00BC7AD7"/>
    <w:rsid w:val="00BF4805"/>
    <w:rsid w:val="00BF49A6"/>
    <w:rsid w:val="00BF505E"/>
    <w:rsid w:val="00BF72DE"/>
    <w:rsid w:val="00C04528"/>
    <w:rsid w:val="00C076E5"/>
    <w:rsid w:val="00C14BDF"/>
    <w:rsid w:val="00C15904"/>
    <w:rsid w:val="00C2165F"/>
    <w:rsid w:val="00C22CC7"/>
    <w:rsid w:val="00C3154D"/>
    <w:rsid w:val="00C330CD"/>
    <w:rsid w:val="00C354C5"/>
    <w:rsid w:val="00C4315E"/>
    <w:rsid w:val="00C50054"/>
    <w:rsid w:val="00C53654"/>
    <w:rsid w:val="00C5409F"/>
    <w:rsid w:val="00C60AFF"/>
    <w:rsid w:val="00C631C4"/>
    <w:rsid w:val="00C65B55"/>
    <w:rsid w:val="00C7138B"/>
    <w:rsid w:val="00C74D14"/>
    <w:rsid w:val="00C74EE9"/>
    <w:rsid w:val="00C836DD"/>
    <w:rsid w:val="00C83CB5"/>
    <w:rsid w:val="00C8525D"/>
    <w:rsid w:val="00C86FD8"/>
    <w:rsid w:val="00C87147"/>
    <w:rsid w:val="00C92578"/>
    <w:rsid w:val="00C927FB"/>
    <w:rsid w:val="00C96C71"/>
    <w:rsid w:val="00C96F82"/>
    <w:rsid w:val="00CB63EA"/>
    <w:rsid w:val="00CB6B7E"/>
    <w:rsid w:val="00CC156D"/>
    <w:rsid w:val="00CC775A"/>
    <w:rsid w:val="00CD3BCD"/>
    <w:rsid w:val="00CE2B40"/>
    <w:rsid w:val="00CE4734"/>
    <w:rsid w:val="00CE63C3"/>
    <w:rsid w:val="00CF4FB9"/>
    <w:rsid w:val="00CF6869"/>
    <w:rsid w:val="00D01E23"/>
    <w:rsid w:val="00D0784F"/>
    <w:rsid w:val="00D11CF0"/>
    <w:rsid w:val="00D13A76"/>
    <w:rsid w:val="00D13BC0"/>
    <w:rsid w:val="00D1457F"/>
    <w:rsid w:val="00D160E9"/>
    <w:rsid w:val="00D17E10"/>
    <w:rsid w:val="00D22B24"/>
    <w:rsid w:val="00D318BD"/>
    <w:rsid w:val="00D32DAB"/>
    <w:rsid w:val="00D33B17"/>
    <w:rsid w:val="00D35D5B"/>
    <w:rsid w:val="00D37083"/>
    <w:rsid w:val="00D37B12"/>
    <w:rsid w:val="00D404BF"/>
    <w:rsid w:val="00D42446"/>
    <w:rsid w:val="00D42722"/>
    <w:rsid w:val="00D44557"/>
    <w:rsid w:val="00D625BC"/>
    <w:rsid w:val="00D8079B"/>
    <w:rsid w:val="00D82EE5"/>
    <w:rsid w:val="00D838C0"/>
    <w:rsid w:val="00D85328"/>
    <w:rsid w:val="00D86991"/>
    <w:rsid w:val="00D908E8"/>
    <w:rsid w:val="00D91691"/>
    <w:rsid w:val="00DA0449"/>
    <w:rsid w:val="00DA0C21"/>
    <w:rsid w:val="00DA1709"/>
    <w:rsid w:val="00DA2FA6"/>
    <w:rsid w:val="00DA393B"/>
    <w:rsid w:val="00DA641A"/>
    <w:rsid w:val="00DB13ED"/>
    <w:rsid w:val="00DB2659"/>
    <w:rsid w:val="00DB6204"/>
    <w:rsid w:val="00DB6326"/>
    <w:rsid w:val="00DB7336"/>
    <w:rsid w:val="00DC25D2"/>
    <w:rsid w:val="00DC560B"/>
    <w:rsid w:val="00DD2880"/>
    <w:rsid w:val="00DD6F9D"/>
    <w:rsid w:val="00DD7B5A"/>
    <w:rsid w:val="00DE032A"/>
    <w:rsid w:val="00DE4CF3"/>
    <w:rsid w:val="00DE7155"/>
    <w:rsid w:val="00DE742A"/>
    <w:rsid w:val="00DE786F"/>
    <w:rsid w:val="00DE78E4"/>
    <w:rsid w:val="00DF14EC"/>
    <w:rsid w:val="00DF29A9"/>
    <w:rsid w:val="00DF36B3"/>
    <w:rsid w:val="00DF7891"/>
    <w:rsid w:val="00DF7D75"/>
    <w:rsid w:val="00E00FAC"/>
    <w:rsid w:val="00E05444"/>
    <w:rsid w:val="00E072E0"/>
    <w:rsid w:val="00E10A40"/>
    <w:rsid w:val="00E14AA2"/>
    <w:rsid w:val="00E15B21"/>
    <w:rsid w:val="00E239E4"/>
    <w:rsid w:val="00E25770"/>
    <w:rsid w:val="00E25A2C"/>
    <w:rsid w:val="00E26597"/>
    <w:rsid w:val="00E30D2C"/>
    <w:rsid w:val="00E324BA"/>
    <w:rsid w:val="00E33C6A"/>
    <w:rsid w:val="00E365EE"/>
    <w:rsid w:val="00E40073"/>
    <w:rsid w:val="00E420AD"/>
    <w:rsid w:val="00E4269D"/>
    <w:rsid w:val="00E450DB"/>
    <w:rsid w:val="00E458EC"/>
    <w:rsid w:val="00E47833"/>
    <w:rsid w:val="00E50024"/>
    <w:rsid w:val="00E53DC4"/>
    <w:rsid w:val="00E549A1"/>
    <w:rsid w:val="00E55AD5"/>
    <w:rsid w:val="00E563AD"/>
    <w:rsid w:val="00E630E7"/>
    <w:rsid w:val="00E66F19"/>
    <w:rsid w:val="00E70320"/>
    <w:rsid w:val="00E70CA3"/>
    <w:rsid w:val="00E72292"/>
    <w:rsid w:val="00E83B6E"/>
    <w:rsid w:val="00E90476"/>
    <w:rsid w:val="00E90C48"/>
    <w:rsid w:val="00E91158"/>
    <w:rsid w:val="00E92048"/>
    <w:rsid w:val="00E9269B"/>
    <w:rsid w:val="00E93358"/>
    <w:rsid w:val="00EA0576"/>
    <w:rsid w:val="00EA33D7"/>
    <w:rsid w:val="00EA3F9A"/>
    <w:rsid w:val="00EA54EB"/>
    <w:rsid w:val="00EA56B3"/>
    <w:rsid w:val="00EB11D4"/>
    <w:rsid w:val="00EB6B44"/>
    <w:rsid w:val="00EC0B3B"/>
    <w:rsid w:val="00EC323F"/>
    <w:rsid w:val="00EC6BB9"/>
    <w:rsid w:val="00EC77CF"/>
    <w:rsid w:val="00ED24CA"/>
    <w:rsid w:val="00ED2FE8"/>
    <w:rsid w:val="00ED5EAC"/>
    <w:rsid w:val="00EE1B37"/>
    <w:rsid w:val="00EE2DCB"/>
    <w:rsid w:val="00EE39E0"/>
    <w:rsid w:val="00EE5484"/>
    <w:rsid w:val="00EE74DC"/>
    <w:rsid w:val="00EF080C"/>
    <w:rsid w:val="00EF4928"/>
    <w:rsid w:val="00F0336E"/>
    <w:rsid w:val="00F034CE"/>
    <w:rsid w:val="00F05D13"/>
    <w:rsid w:val="00F11085"/>
    <w:rsid w:val="00F112CB"/>
    <w:rsid w:val="00F14BFF"/>
    <w:rsid w:val="00F1695A"/>
    <w:rsid w:val="00F20252"/>
    <w:rsid w:val="00F2082D"/>
    <w:rsid w:val="00F23C2A"/>
    <w:rsid w:val="00F253F5"/>
    <w:rsid w:val="00F300F9"/>
    <w:rsid w:val="00F32C5D"/>
    <w:rsid w:val="00F33CC4"/>
    <w:rsid w:val="00F340E1"/>
    <w:rsid w:val="00F40BA0"/>
    <w:rsid w:val="00F44F7E"/>
    <w:rsid w:val="00F52D35"/>
    <w:rsid w:val="00F55DD6"/>
    <w:rsid w:val="00F566E5"/>
    <w:rsid w:val="00F57F5E"/>
    <w:rsid w:val="00F61723"/>
    <w:rsid w:val="00F61F1E"/>
    <w:rsid w:val="00F61F7B"/>
    <w:rsid w:val="00F701D7"/>
    <w:rsid w:val="00F71E74"/>
    <w:rsid w:val="00F72D66"/>
    <w:rsid w:val="00F76B9D"/>
    <w:rsid w:val="00F80507"/>
    <w:rsid w:val="00F83511"/>
    <w:rsid w:val="00F83C7C"/>
    <w:rsid w:val="00F85ADD"/>
    <w:rsid w:val="00F871CC"/>
    <w:rsid w:val="00F9041B"/>
    <w:rsid w:val="00F92C6E"/>
    <w:rsid w:val="00F931D0"/>
    <w:rsid w:val="00F93C1D"/>
    <w:rsid w:val="00F95862"/>
    <w:rsid w:val="00FA1C0A"/>
    <w:rsid w:val="00FA5A7C"/>
    <w:rsid w:val="00FA6157"/>
    <w:rsid w:val="00FA6ED8"/>
    <w:rsid w:val="00FB1565"/>
    <w:rsid w:val="00FB5217"/>
    <w:rsid w:val="00FB5AD0"/>
    <w:rsid w:val="00FB6960"/>
    <w:rsid w:val="00FB7145"/>
    <w:rsid w:val="00FC03C5"/>
    <w:rsid w:val="00FC4F3D"/>
    <w:rsid w:val="00FD2B49"/>
    <w:rsid w:val="00FD7A20"/>
    <w:rsid w:val="00FE207E"/>
    <w:rsid w:val="00FF0D5B"/>
    <w:rsid w:val="00FF1E6B"/>
    <w:rsid w:val="00FF4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2900C"/>
  <w15:chartTrackingRefBased/>
  <w15:docId w15:val="{26039A7C-A47A-456A-9E6E-2E17C51A7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3AC2"/>
    <w:pPr>
      <w:widowControl w:val="0"/>
      <w:jc w:val="both"/>
    </w:pPr>
  </w:style>
  <w:style w:type="paragraph" w:styleId="1">
    <w:name w:val="heading 1"/>
    <w:basedOn w:val="a"/>
    <w:next w:val="a"/>
    <w:link w:val="10"/>
    <w:qFormat/>
    <w:rsid w:val="000E690D"/>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0E690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3A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3AC2"/>
    <w:rPr>
      <w:sz w:val="18"/>
      <w:szCs w:val="18"/>
    </w:rPr>
  </w:style>
  <w:style w:type="paragraph" w:styleId="a5">
    <w:name w:val="footer"/>
    <w:basedOn w:val="a"/>
    <w:link w:val="a6"/>
    <w:uiPriority w:val="99"/>
    <w:unhideWhenUsed/>
    <w:rsid w:val="00433AC2"/>
    <w:pPr>
      <w:tabs>
        <w:tab w:val="center" w:pos="4153"/>
        <w:tab w:val="right" w:pos="8306"/>
      </w:tabs>
      <w:snapToGrid w:val="0"/>
      <w:jc w:val="left"/>
    </w:pPr>
    <w:rPr>
      <w:sz w:val="18"/>
      <w:szCs w:val="18"/>
    </w:rPr>
  </w:style>
  <w:style w:type="character" w:customStyle="1" w:styleId="a6">
    <w:name w:val="页脚 字符"/>
    <w:basedOn w:val="a0"/>
    <w:link w:val="a5"/>
    <w:uiPriority w:val="99"/>
    <w:rsid w:val="00433AC2"/>
    <w:rPr>
      <w:sz w:val="18"/>
      <w:szCs w:val="18"/>
    </w:rPr>
  </w:style>
  <w:style w:type="paragraph" w:styleId="a7">
    <w:name w:val="footnote text"/>
    <w:basedOn w:val="a"/>
    <w:link w:val="a8"/>
    <w:uiPriority w:val="99"/>
    <w:semiHidden/>
    <w:unhideWhenUsed/>
    <w:rsid w:val="009B2765"/>
    <w:pPr>
      <w:snapToGrid w:val="0"/>
      <w:jc w:val="left"/>
    </w:pPr>
    <w:rPr>
      <w:sz w:val="18"/>
      <w:szCs w:val="18"/>
    </w:rPr>
  </w:style>
  <w:style w:type="character" w:customStyle="1" w:styleId="a8">
    <w:name w:val="脚注文本 字符"/>
    <w:basedOn w:val="a0"/>
    <w:link w:val="a7"/>
    <w:uiPriority w:val="99"/>
    <w:semiHidden/>
    <w:rsid w:val="009B2765"/>
    <w:rPr>
      <w:sz w:val="18"/>
      <w:szCs w:val="18"/>
    </w:rPr>
  </w:style>
  <w:style w:type="character" w:styleId="a9">
    <w:name w:val="footnote reference"/>
    <w:basedOn w:val="a0"/>
    <w:uiPriority w:val="99"/>
    <w:semiHidden/>
    <w:unhideWhenUsed/>
    <w:rsid w:val="009B2765"/>
    <w:rPr>
      <w:vertAlign w:val="superscript"/>
    </w:rPr>
  </w:style>
  <w:style w:type="table" w:styleId="aa">
    <w:name w:val="Table Grid"/>
    <w:basedOn w:val="a1"/>
    <w:uiPriority w:val="39"/>
    <w:rsid w:val="008403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0E690D"/>
    <w:rPr>
      <w:b/>
      <w:bCs/>
      <w:kern w:val="44"/>
      <w:sz w:val="44"/>
      <w:szCs w:val="44"/>
    </w:rPr>
  </w:style>
  <w:style w:type="character" w:customStyle="1" w:styleId="20">
    <w:name w:val="标题 2 字符"/>
    <w:basedOn w:val="a0"/>
    <w:link w:val="2"/>
    <w:rsid w:val="000E690D"/>
    <w:rPr>
      <w:rFonts w:asciiTheme="majorHAnsi" w:eastAsiaTheme="majorEastAsia" w:hAnsiTheme="majorHAnsi" w:cstheme="majorBidi"/>
      <w:b/>
      <w:bCs/>
      <w:sz w:val="32"/>
      <w:szCs w:val="32"/>
    </w:rPr>
  </w:style>
  <w:style w:type="paragraph" w:styleId="ab">
    <w:name w:val="List Paragraph"/>
    <w:basedOn w:val="a"/>
    <w:uiPriority w:val="34"/>
    <w:qFormat/>
    <w:rsid w:val="00B467A6"/>
    <w:pPr>
      <w:ind w:firstLineChars="200" w:firstLine="420"/>
    </w:pPr>
  </w:style>
  <w:style w:type="paragraph" w:styleId="ac">
    <w:name w:val="Revision"/>
    <w:hidden/>
    <w:uiPriority w:val="99"/>
    <w:semiHidden/>
    <w:rsid w:val="00A45511"/>
  </w:style>
  <w:style w:type="character" w:styleId="ad">
    <w:name w:val="annotation reference"/>
    <w:basedOn w:val="a0"/>
    <w:uiPriority w:val="99"/>
    <w:semiHidden/>
    <w:unhideWhenUsed/>
    <w:rsid w:val="00421133"/>
    <w:rPr>
      <w:sz w:val="16"/>
      <w:szCs w:val="16"/>
    </w:rPr>
  </w:style>
  <w:style w:type="paragraph" w:styleId="ae">
    <w:name w:val="annotation text"/>
    <w:basedOn w:val="a"/>
    <w:link w:val="af"/>
    <w:uiPriority w:val="99"/>
    <w:semiHidden/>
    <w:unhideWhenUsed/>
    <w:rsid w:val="00421133"/>
    <w:rPr>
      <w:sz w:val="20"/>
      <w:szCs w:val="20"/>
    </w:rPr>
  </w:style>
  <w:style w:type="character" w:customStyle="1" w:styleId="af">
    <w:name w:val="批注文字 字符"/>
    <w:basedOn w:val="a0"/>
    <w:link w:val="ae"/>
    <w:uiPriority w:val="99"/>
    <w:semiHidden/>
    <w:rsid w:val="00421133"/>
    <w:rPr>
      <w:sz w:val="20"/>
      <w:szCs w:val="20"/>
    </w:rPr>
  </w:style>
  <w:style w:type="paragraph" w:styleId="af0">
    <w:name w:val="annotation subject"/>
    <w:basedOn w:val="ae"/>
    <w:next w:val="ae"/>
    <w:link w:val="af1"/>
    <w:uiPriority w:val="99"/>
    <w:semiHidden/>
    <w:unhideWhenUsed/>
    <w:rsid w:val="00421133"/>
    <w:rPr>
      <w:b/>
      <w:bCs/>
    </w:rPr>
  </w:style>
  <w:style w:type="character" w:customStyle="1" w:styleId="af1">
    <w:name w:val="批注主题 字符"/>
    <w:basedOn w:val="af"/>
    <w:link w:val="af0"/>
    <w:uiPriority w:val="99"/>
    <w:semiHidden/>
    <w:rsid w:val="00421133"/>
    <w:rPr>
      <w:b/>
      <w:bCs/>
      <w:sz w:val="20"/>
      <w:szCs w:val="20"/>
    </w:rPr>
  </w:style>
  <w:style w:type="paragraph" w:customStyle="1" w:styleId="Articletitle">
    <w:name w:val="Article title"/>
    <w:basedOn w:val="a"/>
    <w:next w:val="a"/>
    <w:qFormat/>
    <w:rsid w:val="005F4C26"/>
    <w:pPr>
      <w:widowControl/>
      <w:spacing w:after="120" w:line="360" w:lineRule="auto"/>
      <w:jc w:val="left"/>
    </w:pPr>
    <w:rPr>
      <w:rFonts w:ascii="Times New Roman" w:eastAsia="Times New Roman" w:hAnsi="Times New Roman" w:cs="Times New Roman"/>
      <w:b/>
      <w:kern w:val="0"/>
      <w:sz w:val="28"/>
      <w:szCs w:val="24"/>
      <w:lang w:val="en-GB" w:eastAsia="en-GB"/>
    </w:rPr>
  </w:style>
  <w:style w:type="paragraph" w:customStyle="1" w:styleId="Authornames">
    <w:name w:val="Author names"/>
    <w:basedOn w:val="a"/>
    <w:next w:val="a"/>
    <w:qFormat/>
    <w:rsid w:val="005F4C26"/>
    <w:pPr>
      <w:widowControl/>
      <w:spacing w:before="240" w:line="360" w:lineRule="auto"/>
      <w:jc w:val="left"/>
    </w:pPr>
    <w:rPr>
      <w:rFonts w:ascii="Times New Roman" w:eastAsia="Times New Roman" w:hAnsi="Times New Roman" w:cs="Times New Roman"/>
      <w:kern w:val="0"/>
      <w:sz w:val="28"/>
      <w:szCs w:val="24"/>
      <w:lang w:val="en-GB" w:eastAsia="en-GB"/>
    </w:rPr>
  </w:style>
  <w:style w:type="paragraph" w:customStyle="1" w:styleId="Abstract">
    <w:name w:val="Abstract"/>
    <w:basedOn w:val="a"/>
    <w:next w:val="a"/>
    <w:qFormat/>
    <w:rsid w:val="009E5460"/>
    <w:pPr>
      <w:widowControl/>
      <w:spacing w:before="360" w:after="300" w:line="360" w:lineRule="auto"/>
      <w:ind w:left="720" w:right="567"/>
      <w:jc w:val="left"/>
    </w:pPr>
    <w:rPr>
      <w:rFonts w:ascii="Times New Roman" w:eastAsia="Times New Roman" w:hAnsi="Times New Roman" w:cs="Times New Roman"/>
      <w:kern w:val="0"/>
      <w:sz w:val="22"/>
      <w:szCs w:val="24"/>
      <w:lang w:val="en-GB" w:eastAsia="en-GB"/>
    </w:rPr>
  </w:style>
  <w:style w:type="paragraph" w:customStyle="1" w:styleId="Keywords">
    <w:name w:val="Keywords"/>
    <w:basedOn w:val="a"/>
    <w:next w:val="a"/>
    <w:qFormat/>
    <w:rsid w:val="009E5460"/>
    <w:pPr>
      <w:widowControl/>
      <w:spacing w:before="240" w:after="240" w:line="360" w:lineRule="auto"/>
      <w:ind w:left="720" w:right="567"/>
      <w:jc w:val="left"/>
    </w:pPr>
    <w:rPr>
      <w:rFonts w:ascii="Times New Roman" w:eastAsia="Times New Roman" w:hAnsi="Times New Roman" w:cs="Times New Roman"/>
      <w:kern w:val="0"/>
      <w:sz w:val="22"/>
      <w:szCs w:val="24"/>
      <w:lang w:val="en-GB" w:eastAsia="en-GB"/>
    </w:rPr>
  </w:style>
  <w:style w:type="paragraph" w:customStyle="1" w:styleId="Paragraph">
    <w:name w:val="Paragraph"/>
    <w:basedOn w:val="a"/>
    <w:next w:val="a"/>
    <w:qFormat/>
    <w:rsid w:val="00B01805"/>
    <w:pPr>
      <w:spacing w:before="240" w:line="480" w:lineRule="auto"/>
      <w:jc w:val="left"/>
    </w:pPr>
    <w:rPr>
      <w:rFonts w:ascii="Times New Roman" w:eastAsia="Times New Roman" w:hAnsi="Times New Roman" w:cs="Times New Roman"/>
      <w:kern w:val="0"/>
      <w:sz w:val="24"/>
      <w:szCs w:val="24"/>
      <w:lang w:val="en-GB" w:eastAsia="en-GB"/>
    </w:rPr>
  </w:style>
  <w:style w:type="paragraph" w:customStyle="1" w:styleId="Newparagraph">
    <w:name w:val="New paragraph"/>
    <w:basedOn w:val="a"/>
    <w:qFormat/>
    <w:rsid w:val="00DB2659"/>
    <w:pPr>
      <w:widowControl/>
      <w:spacing w:line="480" w:lineRule="auto"/>
      <w:ind w:firstLine="720"/>
      <w:jc w:val="left"/>
    </w:pPr>
    <w:rPr>
      <w:rFonts w:ascii="Times New Roman" w:eastAsia="Times New Roman" w:hAnsi="Times New Roman" w:cs="Times New Roman"/>
      <w:kern w:val="0"/>
      <w:sz w:val="24"/>
      <w:szCs w:val="24"/>
      <w:lang w:val="en-GB" w:eastAsia="en-GB"/>
    </w:rPr>
  </w:style>
  <w:style w:type="paragraph" w:customStyle="1" w:styleId="Bulletedlist">
    <w:name w:val="Bulleted list"/>
    <w:basedOn w:val="Paragraph"/>
    <w:next w:val="Paragraph"/>
    <w:qFormat/>
    <w:rsid w:val="00EE74DC"/>
    <w:pPr>
      <w:widowControl/>
      <w:spacing w:after="240"/>
      <w:ind w:left="720" w:hanging="360"/>
      <w:contextualSpacing/>
    </w:pPr>
  </w:style>
  <w:style w:type="paragraph" w:customStyle="1" w:styleId="Notesoncontributors">
    <w:name w:val="Notes on contributors"/>
    <w:basedOn w:val="a"/>
    <w:qFormat/>
    <w:rsid w:val="009C2B2D"/>
    <w:pPr>
      <w:widowControl/>
      <w:spacing w:before="240" w:line="360" w:lineRule="auto"/>
      <w:jc w:val="left"/>
    </w:pPr>
    <w:rPr>
      <w:rFonts w:ascii="Times New Roman" w:eastAsia="Times New Roman" w:hAnsi="Times New Roman" w:cs="Times New Roman"/>
      <w:kern w:val="0"/>
      <w:sz w:val="22"/>
      <w:szCs w:val="24"/>
      <w:lang w:val="en-GB" w:eastAsia="en-GB"/>
    </w:rPr>
  </w:style>
  <w:style w:type="character" w:styleId="af2">
    <w:name w:val="Hyperlink"/>
    <w:basedOn w:val="a0"/>
    <w:uiPriority w:val="99"/>
    <w:unhideWhenUsed/>
    <w:rsid w:val="00757A5C"/>
    <w:rPr>
      <w:color w:val="0563C1" w:themeColor="hyperlink"/>
      <w:u w:val="single"/>
    </w:rPr>
  </w:style>
  <w:style w:type="character" w:styleId="af3">
    <w:name w:val="Unresolved Mention"/>
    <w:basedOn w:val="a0"/>
    <w:uiPriority w:val="99"/>
    <w:semiHidden/>
    <w:unhideWhenUsed/>
    <w:rsid w:val="00757A5C"/>
    <w:rPr>
      <w:color w:val="605E5C"/>
      <w:shd w:val="clear" w:color="auto" w:fill="E1DFDD"/>
    </w:rPr>
  </w:style>
  <w:style w:type="paragraph" w:styleId="af4">
    <w:name w:val="endnote text"/>
    <w:basedOn w:val="a"/>
    <w:link w:val="af5"/>
    <w:uiPriority w:val="99"/>
    <w:unhideWhenUsed/>
    <w:rsid w:val="001A4A5D"/>
    <w:rPr>
      <w:sz w:val="20"/>
      <w:szCs w:val="20"/>
    </w:rPr>
  </w:style>
  <w:style w:type="character" w:customStyle="1" w:styleId="af5">
    <w:name w:val="尾注文本 字符"/>
    <w:basedOn w:val="a0"/>
    <w:link w:val="af4"/>
    <w:uiPriority w:val="99"/>
    <w:rsid w:val="001A4A5D"/>
    <w:rPr>
      <w:sz w:val="20"/>
      <w:szCs w:val="20"/>
    </w:rPr>
  </w:style>
  <w:style w:type="character" w:styleId="af6">
    <w:name w:val="endnote reference"/>
    <w:basedOn w:val="a0"/>
    <w:uiPriority w:val="99"/>
    <w:semiHidden/>
    <w:unhideWhenUsed/>
    <w:rsid w:val="001A4A5D"/>
    <w:rPr>
      <w:vertAlign w:val="superscript"/>
    </w:rPr>
  </w:style>
  <w:style w:type="paragraph" w:customStyle="1" w:styleId="References">
    <w:name w:val="References"/>
    <w:basedOn w:val="a"/>
    <w:qFormat/>
    <w:rsid w:val="007D159C"/>
    <w:pPr>
      <w:widowControl/>
      <w:spacing w:before="120" w:line="360" w:lineRule="auto"/>
      <w:ind w:left="720" w:hanging="720"/>
      <w:contextualSpacing/>
      <w:jc w:val="left"/>
    </w:pPr>
    <w:rPr>
      <w:rFonts w:ascii="Times New Roman" w:eastAsia="Times New Roman" w:hAnsi="Times New Roman" w:cs="Times New Roman"/>
      <w:kern w:val="0"/>
      <w:sz w:val="24"/>
      <w:szCs w:val="24"/>
      <w:lang w:val="en-GB" w:eastAsia="en-GB"/>
    </w:rPr>
  </w:style>
  <w:style w:type="paragraph" w:customStyle="1" w:styleId="Acknowledgements">
    <w:name w:val="Acknowledgements"/>
    <w:basedOn w:val="a"/>
    <w:next w:val="a"/>
    <w:qFormat/>
    <w:rsid w:val="00B72CF6"/>
    <w:pPr>
      <w:widowControl/>
      <w:spacing w:before="120" w:line="360" w:lineRule="auto"/>
      <w:jc w:val="left"/>
    </w:pPr>
    <w:rPr>
      <w:rFonts w:ascii="Times New Roman" w:eastAsia="Times New Roman" w:hAnsi="Times New Roman" w:cs="Times New Roman"/>
      <w:kern w:val="0"/>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76597">
      <w:bodyDiv w:val="1"/>
      <w:marLeft w:val="0"/>
      <w:marRight w:val="0"/>
      <w:marTop w:val="0"/>
      <w:marBottom w:val="0"/>
      <w:divBdr>
        <w:top w:val="none" w:sz="0" w:space="0" w:color="auto"/>
        <w:left w:val="none" w:sz="0" w:space="0" w:color="auto"/>
        <w:bottom w:val="none" w:sz="0" w:space="0" w:color="auto"/>
        <w:right w:val="none" w:sz="0" w:space="0" w:color="auto"/>
      </w:divBdr>
    </w:div>
    <w:div w:id="308825353">
      <w:bodyDiv w:val="1"/>
      <w:marLeft w:val="0"/>
      <w:marRight w:val="0"/>
      <w:marTop w:val="0"/>
      <w:marBottom w:val="0"/>
      <w:divBdr>
        <w:top w:val="none" w:sz="0" w:space="0" w:color="auto"/>
        <w:left w:val="none" w:sz="0" w:space="0" w:color="auto"/>
        <w:bottom w:val="none" w:sz="0" w:space="0" w:color="auto"/>
        <w:right w:val="none" w:sz="0" w:space="0" w:color="auto"/>
      </w:divBdr>
    </w:div>
    <w:div w:id="558059519">
      <w:bodyDiv w:val="1"/>
      <w:marLeft w:val="0"/>
      <w:marRight w:val="0"/>
      <w:marTop w:val="0"/>
      <w:marBottom w:val="0"/>
      <w:divBdr>
        <w:top w:val="none" w:sz="0" w:space="0" w:color="auto"/>
        <w:left w:val="none" w:sz="0" w:space="0" w:color="auto"/>
        <w:bottom w:val="none" w:sz="0" w:space="0" w:color="auto"/>
        <w:right w:val="none" w:sz="0" w:space="0" w:color="auto"/>
      </w:divBdr>
    </w:div>
    <w:div w:id="558905738">
      <w:bodyDiv w:val="1"/>
      <w:marLeft w:val="0"/>
      <w:marRight w:val="0"/>
      <w:marTop w:val="0"/>
      <w:marBottom w:val="0"/>
      <w:divBdr>
        <w:top w:val="none" w:sz="0" w:space="0" w:color="auto"/>
        <w:left w:val="none" w:sz="0" w:space="0" w:color="auto"/>
        <w:bottom w:val="none" w:sz="0" w:space="0" w:color="auto"/>
        <w:right w:val="none" w:sz="0" w:space="0" w:color="auto"/>
      </w:divBdr>
    </w:div>
    <w:div w:id="682706801">
      <w:bodyDiv w:val="1"/>
      <w:marLeft w:val="0"/>
      <w:marRight w:val="0"/>
      <w:marTop w:val="0"/>
      <w:marBottom w:val="0"/>
      <w:divBdr>
        <w:top w:val="none" w:sz="0" w:space="0" w:color="auto"/>
        <w:left w:val="none" w:sz="0" w:space="0" w:color="auto"/>
        <w:bottom w:val="none" w:sz="0" w:space="0" w:color="auto"/>
        <w:right w:val="none" w:sz="0" w:space="0" w:color="auto"/>
      </w:divBdr>
    </w:div>
    <w:div w:id="925385096">
      <w:bodyDiv w:val="1"/>
      <w:marLeft w:val="0"/>
      <w:marRight w:val="0"/>
      <w:marTop w:val="0"/>
      <w:marBottom w:val="0"/>
      <w:divBdr>
        <w:top w:val="none" w:sz="0" w:space="0" w:color="auto"/>
        <w:left w:val="none" w:sz="0" w:space="0" w:color="auto"/>
        <w:bottom w:val="none" w:sz="0" w:space="0" w:color="auto"/>
        <w:right w:val="none" w:sz="0" w:space="0" w:color="auto"/>
      </w:divBdr>
    </w:div>
    <w:div w:id="1204366425">
      <w:bodyDiv w:val="1"/>
      <w:marLeft w:val="0"/>
      <w:marRight w:val="0"/>
      <w:marTop w:val="0"/>
      <w:marBottom w:val="0"/>
      <w:divBdr>
        <w:top w:val="none" w:sz="0" w:space="0" w:color="auto"/>
        <w:left w:val="none" w:sz="0" w:space="0" w:color="auto"/>
        <w:bottom w:val="none" w:sz="0" w:space="0" w:color="auto"/>
        <w:right w:val="none" w:sz="0" w:space="0" w:color="auto"/>
      </w:divBdr>
    </w:div>
    <w:div w:id="1381317500">
      <w:bodyDiv w:val="1"/>
      <w:marLeft w:val="0"/>
      <w:marRight w:val="0"/>
      <w:marTop w:val="0"/>
      <w:marBottom w:val="0"/>
      <w:divBdr>
        <w:top w:val="none" w:sz="0" w:space="0" w:color="auto"/>
        <w:left w:val="none" w:sz="0" w:space="0" w:color="auto"/>
        <w:bottom w:val="none" w:sz="0" w:space="0" w:color="auto"/>
        <w:right w:val="none" w:sz="0" w:space="0" w:color="auto"/>
      </w:divBdr>
    </w:div>
    <w:div w:id="1517767806">
      <w:bodyDiv w:val="1"/>
      <w:marLeft w:val="0"/>
      <w:marRight w:val="0"/>
      <w:marTop w:val="0"/>
      <w:marBottom w:val="0"/>
      <w:divBdr>
        <w:top w:val="none" w:sz="0" w:space="0" w:color="auto"/>
        <w:left w:val="none" w:sz="0" w:space="0" w:color="auto"/>
        <w:bottom w:val="none" w:sz="0" w:space="0" w:color="auto"/>
        <w:right w:val="none" w:sz="0" w:space="0" w:color="auto"/>
      </w:divBdr>
    </w:div>
    <w:div w:id="1565411549">
      <w:bodyDiv w:val="1"/>
      <w:marLeft w:val="0"/>
      <w:marRight w:val="0"/>
      <w:marTop w:val="0"/>
      <w:marBottom w:val="0"/>
      <w:divBdr>
        <w:top w:val="none" w:sz="0" w:space="0" w:color="auto"/>
        <w:left w:val="none" w:sz="0" w:space="0" w:color="auto"/>
        <w:bottom w:val="none" w:sz="0" w:space="0" w:color="auto"/>
        <w:right w:val="none" w:sz="0" w:space="0" w:color="auto"/>
      </w:divBdr>
    </w:div>
    <w:div w:id="1571425658">
      <w:bodyDiv w:val="1"/>
      <w:marLeft w:val="0"/>
      <w:marRight w:val="0"/>
      <w:marTop w:val="0"/>
      <w:marBottom w:val="0"/>
      <w:divBdr>
        <w:top w:val="none" w:sz="0" w:space="0" w:color="auto"/>
        <w:left w:val="none" w:sz="0" w:space="0" w:color="auto"/>
        <w:bottom w:val="none" w:sz="0" w:space="0" w:color="auto"/>
        <w:right w:val="none" w:sz="0" w:space="0" w:color="auto"/>
      </w:divBdr>
    </w:div>
    <w:div w:id="1609192183">
      <w:bodyDiv w:val="1"/>
      <w:marLeft w:val="0"/>
      <w:marRight w:val="0"/>
      <w:marTop w:val="0"/>
      <w:marBottom w:val="0"/>
      <w:divBdr>
        <w:top w:val="none" w:sz="0" w:space="0" w:color="auto"/>
        <w:left w:val="none" w:sz="0" w:space="0" w:color="auto"/>
        <w:bottom w:val="none" w:sz="0" w:space="0" w:color="auto"/>
        <w:right w:val="none" w:sz="0" w:space="0" w:color="auto"/>
      </w:divBdr>
    </w:div>
    <w:div w:id="1617322499">
      <w:bodyDiv w:val="1"/>
      <w:marLeft w:val="0"/>
      <w:marRight w:val="0"/>
      <w:marTop w:val="0"/>
      <w:marBottom w:val="0"/>
      <w:divBdr>
        <w:top w:val="none" w:sz="0" w:space="0" w:color="auto"/>
        <w:left w:val="none" w:sz="0" w:space="0" w:color="auto"/>
        <w:bottom w:val="none" w:sz="0" w:space="0" w:color="auto"/>
        <w:right w:val="none" w:sz="0" w:space="0" w:color="auto"/>
      </w:divBdr>
    </w:div>
    <w:div w:id="1692147095">
      <w:bodyDiv w:val="1"/>
      <w:marLeft w:val="0"/>
      <w:marRight w:val="0"/>
      <w:marTop w:val="0"/>
      <w:marBottom w:val="0"/>
      <w:divBdr>
        <w:top w:val="none" w:sz="0" w:space="0" w:color="auto"/>
        <w:left w:val="none" w:sz="0" w:space="0" w:color="auto"/>
        <w:bottom w:val="none" w:sz="0" w:space="0" w:color="auto"/>
        <w:right w:val="none" w:sz="0" w:space="0" w:color="auto"/>
      </w:divBdr>
    </w:div>
    <w:div w:id="1711611989">
      <w:bodyDiv w:val="1"/>
      <w:marLeft w:val="0"/>
      <w:marRight w:val="0"/>
      <w:marTop w:val="0"/>
      <w:marBottom w:val="0"/>
      <w:divBdr>
        <w:top w:val="none" w:sz="0" w:space="0" w:color="auto"/>
        <w:left w:val="none" w:sz="0" w:space="0" w:color="auto"/>
        <w:bottom w:val="none" w:sz="0" w:space="0" w:color="auto"/>
        <w:right w:val="none" w:sz="0" w:space="0" w:color="auto"/>
      </w:divBdr>
    </w:div>
    <w:div w:id="1748962337">
      <w:bodyDiv w:val="1"/>
      <w:marLeft w:val="0"/>
      <w:marRight w:val="0"/>
      <w:marTop w:val="0"/>
      <w:marBottom w:val="0"/>
      <w:divBdr>
        <w:top w:val="none" w:sz="0" w:space="0" w:color="auto"/>
        <w:left w:val="none" w:sz="0" w:space="0" w:color="auto"/>
        <w:bottom w:val="none" w:sz="0" w:space="0" w:color="auto"/>
        <w:right w:val="none" w:sz="0" w:space="0" w:color="auto"/>
      </w:divBdr>
    </w:div>
    <w:div w:id="1750419299">
      <w:bodyDiv w:val="1"/>
      <w:marLeft w:val="0"/>
      <w:marRight w:val="0"/>
      <w:marTop w:val="0"/>
      <w:marBottom w:val="0"/>
      <w:divBdr>
        <w:top w:val="none" w:sz="0" w:space="0" w:color="auto"/>
        <w:left w:val="none" w:sz="0" w:space="0" w:color="auto"/>
        <w:bottom w:val="none" w:sz="0" w:space="0" w:color="auto"/>
        <w:right w:val="none" w:sz="0" w:space="0" w:color="auto"/>
      </w:divBdr>
    </w:div>
    <w:div w:id="1797720014">
      <w:bodyDiv w:val="1"/>
      <w:marLeft w:val="0"/>
      <w:marRight w:val="0"/>
      <w:marTop w:val="0"/>
      <w:marBottom w:val="0"/>
      <w:divBdr>
        <w:top w:val="none" w:sz="0" w:space="0" w:color="auto"/>
        <w:left w:val="none" w:sz="0" w:space="0" w:color="auto"/>
        <w:bottom w:val="none" w:sz="0" w:space="0" w:color="auto"/>
        <w:right w:val="none" w:sz="0" w:space="0" w:color="auto"/>
      </w:divBdr>
    </w:div>
    <w:div w:id="1952736912">
      <w:bodyDiv w:val="1"/>
      <w:marLeft w:val="0"/>
      <w:marRight w:val="0"/>
      <w:marTop w:val="0"/>
      <w:marBottom w:val="0"/>
      <w:divBdr>
        <w:top w:val="none" w:sz="0" w:space="0" w:color="auto"/>
        <w:left w:val="none" w:sz="0" w:space="0" w:color="auto"/>
        <w:bottom w:val="none" w:sz="0" w:space="0" w:color="auto"/>
        <w:right w:val="none" w:sz="0" w:space="0" w:color="auto"/>
      </w:divBdr>
    </w:div>
    <w:div w:id="1982226494">
      <w:bodyDiv w:val="1"/>
      <w:marLeft w:val="0"/>
      <w:marRight w:val="0"/>
      <w:marTop w:val="0"/>
      <w:marBottom w:val="0"/>
      <w:divBdr>
        <w:top w:val="none" w:sz="0" w:space="0" w:color="auto"/>
        <w:left w:val="none" w:sz="0" w:space="0" w:color="auto"/>
        <w:bottom w:val="none" w:sz="0" w:space="0" w:color="auto"/>
        <w:right w:val="none" w:sz="0" w:space="0" w:color="auto"/>
      </w:divBdr>
    </w:div>
    <w:div w:id="1985354566">
      <w:bodyDiv w:val="1"/>
      <w:marLeft w:val="0"/>
      <w:marRight w:val="0"/>
      <w:marTop w:val="0"/>
      <w:marBottom w:val="0"/>
      <w:divBdr>
        <w:top w:val="none" w:sz="0" w:space="0" w:color="auto"/>
        <w:left w:val="none" w:sz="0" w:space="0" w:color="auto"/>
        <w:bottom w:val="none" w:sz="0" w:space="0" w:color="auto"/>
        <w:right w:val="none" w:sz="0" w:space="0" w:color="auto"/>
      </w:divBdr>
    </w:div>
    <w:div w:id="208595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s.cdu.edu.au/ws/portalfiles/portal/20609458/Mason_59692.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C50A2-77B1-4DEA-9D7F-41F8B3891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1832</Words>
  <Characters>11289</Characters>
  <Application>Microsoft Office Word</Application>
  <DocSecurity>0</DocSecurity>
  <Lines>418</Lines>
  <Paragraphs>305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wenting</dc:creator>
  <cp:keywords/>
  <dc:description/>
  <cp:lastModifiedBy>wenting sun</cp:lastModifiedBy>
  <cp:revision>7</cp:revision>
  <dcterms:created xsi:type="dcterms:W3CDTF">2023-06-01T10:04:00Z</dcterms:created>
  <dcterms:modified xsi:type="dcterms:W3CDTF">2023-06-01T10:27:00Z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079ee41a3462a44980578981150459061e56b0319e11a5751ab8a917ebfdd880</vt:lpwstr>
  </property>
</Properties>
</file>