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1. Each service center has one manager, one receptionist, and at least five mechanics.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2. Service center operates 5 days a week from 8 AM to 7PM.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3. Service center’s name, address and phone number must be recorded.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4. Employees’ password, name, address, email, phone, start working date, and compensation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must be recorded. And their employee ID is a 9-digit number.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5. An employee can only work at one service center.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6. Employee get paid 1st and 15th every month.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7. If part’s quantity is less than the quantity threshold, an order of this part must be created.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And the quantity of the part in each order has to be large than the order threshold.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8. The status will start with “Pending” and change to “Complete” when the order is received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by an employee.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9. Customer’s name, address, email, password, and phone must be recorded.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10. Car type in car model must be Honda, Nissan or Toyota.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11. Vehicle’s license number, type must be recorded and these attributes will stay unchanged. 12. Each vehicle can only have one owner.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13. Service offered are either maintenance or repair.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14. Maintenance services are based on the miles of the vehicle and will rotate for each vehicle. 15. Service B provides every services that Service A provided and Service C contains all of the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Service B’s services.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16. The provided time slots are the two earliest possible time when a customer want to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schedule a service.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17. No more than half the day is allocated to maintenance requests.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