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Title: Sensor Monitoring Technical Specification</w:t>
        <w:br/>
        <w:t>Document Type: Technical Documentation</w:t>
      </w:r>
    </w:p>
    <w:p>
      <w:r>
        <w:t>The monitoring system collects operational data from factory machines every five minutes. The data is transmitted from the sensors installed on the machines to the central monitoring server.</w:t>
      </w:r>
    </w:p>
    <w:p>
      <w:r>
        <w:t>Temperature Sensors</w:t>
        <w:br/>
        <w:t>These sensors measure the operating temperature of machine components. High temperatures may indicate overheating caused by excessive load, insufficient lubrication, or cooling system malfunction.</w:t>
      </w:r>
    </w:p>
    <w:p>
      <w:r>
        <w:t>The threshold for overheating detection is currently defined as 80 degrees Celsius. If the measured temperature exceeds this value, the system considers the machine to be operating in an unsafe condition.</w:t>
      </w:r>
    </w:p>
    <w:p>
      <w:r>
        <w:t>Vibration Sensors</w:t>
        <w:br/>
        <w:t>Vibration sensors measure the oscillation patterns of machine components. Abnormal vibration patterns often occur when components are worn, misaligned, or damaged.</w:t>
      </w:r>
    </w:p>
    <w:p>
      <w:r>
        <w:t>When the vibration level exceeds the defined vibration threshold, the monitoring system marks the machine as requiring maintenance inspection.</w:t>
      </w:r>
    </w:p>
    <w:p>
      <w:r>
        <w:t>The monitoring system evaluates the sensor measurements sequentially when analyzing machine conditions.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