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Interview with Senior Maintenance Engineer</w:t>
        <w:br/>
        <w:t>Document Type: Interview Notes</w:t>
      </w:r>
    </w:p>
    <w:p>
      <w:r>
        <w:t>During an interview with the senior maintenance engineer, several additional insights about the monitoring process were discussed.</w:t>
      </w:r>
    </w:p>
    <w:p>
      <w:r>
        <w:t>According to the engineer, the monitoring system first evaluates temperature data because overheating can quickly damage machine components. In such cases, the machine must be stopped immediately to avoid serious damage.</w:t>
      </w:r>
    </w:p>
    <w:p>
      <w:r>
        <w:t>If the temperature remains within safe limits, the system proceeds with vibration analysis. Abnormal vibration often indicates that mechanical components are beginning to wear out.</w:t>
      </w:r>
    </w:p>
    <w:p>
      <w:r>
        <w:t>When abnormal vibration is detected, the monitoring system creates a maintenance ticket rather than stopping the machine immediately. This allows technicians to inspect the machine during scheduled maintenance.</w:t>
      </w:r>
    </w:p>
    <w:p>
      <w:r>
        <w:t>The engineer also mentioned that all monitoring events are stored in the factory monitoring database. These records are useful for long‑term performance analysis and predictive maintenance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