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标题：发货创建流程</w:t>
        <w:br/>
        <w:t>文档类型：物流操作指南</w:t>
      </w:r>
    </w:p>
    <w:p>
      <w:r>
        <w:t>在订单支付成功后，系统需要将订单信息发送到物流系统以启动发货流程。</w:t>
      </w:r>
    </w:p>
    <w:p>
      <w:r>
        <w:t>物流子系统会根据订单信息生成一个发货记录，其中包含订单编号、配送地址、配送方式以及商品清单等信息。</w:t>
      </w:r>
    </w:p>
    <w:p>
      <w:r>
        <w:t>仓库系统接收到发货请求后，会安排工作人员进行商品拣货和打包。</w:t>
      </w:r>
    </w:p>
    <w:p>
      <w:r>
        <w:t>当发货记录创建完成后，系统会生成一个物流追踪编号。该追踪编号允许客户在线查询配送进度。</w:t>
      </w:r>
    </w:p>
    <w:p>
      <w:r>
        <w:t>该追踪编号通常会包含在订单确认邮件中，并发送给客户，以便客户了解配送状态。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