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Build Artifact Generation</w:t>
        <w:br/>
        <w:t>Document Type: Engineering Guideline</w:t>
      </w:r>
    </w:p>
    <w:p>
      <w:r>
        <w:t>After the CI pipeline completes successfully, the build system produces a deployable artifact.</w:t>
      </w:r>
    </w:p>
    <w:p>
      <w:r>
        <w:t>The artifact typically contains the compiled application, configuration files, and other resources required to run the system.</w:t>
      </w:r>
    </w:p>
    <w:p>
      <w:r>
        <w:t>Artifacts are stored in the internal artifact repository so they can be accessed by deployment systems.</w:t>
      </w:r>
    </w:p>
    <w:p>
      <w:r>
        <w:t>The artifact repository ensures that the same artifact can be deployed consistently across environments such as staging and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