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Online Course Catalog (VVZ) – Bilingual Translation</w:t>
      </w:r>
    </w:p>
    <w:p>
      <w:pPr>
        <w:pStyle w:val="Heading1"/>
      </w:pPr>
      <w:r>
        <w:t>About this Document</w:t>
      </w:r>
    </w:p>
    <w:p>
      <w:r>
        <w:t>This document describes the structure of the University of Vienna Online Course Catalog (VVZ Online) from the user's perspective.</w:t>
      </w:r>
    </w:p>
    <w:p>
      <w:r>
        <w:t>本文件从用户角度描述维也纳大学在线课程目录（VVZ Online）的结构。</w:t>
      </w:r>
    </w:p>
    <w:p>
      <w:pPr>
        <w:pStyle w:val="Heading1"/>
      </w:pPr>
      <w:r>
        <w:t>Purpose and Content</w:t>
      </w:r>
    </w:p>
    <w:p>
      <w:r>
        <w:t>The document explains the structure, navigation and interaction mechanisms of the course catalog system.</w:t>
      </w:r>
    </w:p>
    <w:p>
      <w:r>
        <w:t>本文档解释课程目录系统的结构、导航方式以及交互机制。</w:t>
      </w:r>
    </w:p>
    <w:p>
      <w:pPr>
        <w:pStyle w:val="Heading1"/>
      </w:pPr>
      <w:r>
        <w:t>General Guidelines</w:t>
      </w:r>
    </w:p>
    <w:p>
      <w:r>
        <w:t>Pages should load quickly, be compatible with common browsers, and follow accessibility guidelines.</w:t>
      </w:r>
    </w:p>
    <w:p>
      <w:r>
        <w:t>页面应快速加载、兼容常见浏览器，并遵循无障碍访问指南。</w:t>
      </w:r>
    </w:p>
    <w:p>
      <w:pPr>
        <w:pStyle w:val="Heading1"/>
      </w:pPr>
      <w:r>
        <w:t>Form Elements</w:t>
      </w:r>
    </w:p>
    <w:p>
      <w:r>
        <w:t>The system includes text fields, radio buttons, checkboxes and drop-down menus.</w:t>
      </w:r>
    </w:p>
    <w:p>
      <w:r>
        <w:t>系统包含文本输入框、单选按钮、复选框以及下拉菜单。</w:t>
      </w:r>
    </w:p>
    <w:p>
      <w:pPr>
        <w:pStyle w:val="Heading1"/>
      </w:pPr>
      <w:r>
        <w:t>Search Function</w:t>
      </w:r>
    </w:p>
    <w:p>
      <w:r>
        <w:t>Users can search for courses, exams, lecturers, institutes or departments.</w:t>
      </w:r>
    </w:p>
    <w:p>
      <w:r>
        <w:t>用户可以搜索课程、考试、教师以及学院或部门。</w:t>
      </w:r>
    </w:p>
    <w:p>
      <w:pPr>
        <w:pStyle w:val="Heading1"/>
      </w:pPr>
      <w:r>
        <w:t>Search Results</w:t>
      </w:r>
    </w:p>
    <w:p>
      <w:r>
        <w:t>Search results display key information such as course title, lecturer and location.</w:t>
      </w:r>
    </w:p>
    <w:p>
      <w:r>
        <w:t>搜索结果会显示课程标题、教师姓名以及上课地点等信息。</w:t>
      </w:r>
    </w:p>
    <w:p>
      <w:pPr>
        <w:pStyle w:val="Heading1"/>
      </w:pPr>
      <w:r>
        <w:t>Browsing Mode</w:t>
      </w:r>
    </w:p>
    <w:p>
      <w:r>
        <w:t>Users may browse the catalog using a hierarchical structure of subject areas and study programs.</w:t>
      </w:r>
    </w:p>
    <w:p>
      <w:r>
        <w:t>用户可以通过主题领域和学习项目的层级结构浏览课程目录。</w:t>
      </w:r>
    </w:p>
    <w:p>
      <w:pPr>
        <w:pStyle w:val="Heading1"/>
      </w:pPr>
      <w:r>
        <w:t>Study Program Information</w:t>
      </w:r>
    </w:p>
    <w:p>
      <w:r>
        <w:t>Each program overview includes study duration, ECTS credits, language and admission requirements.</w:t>
      </w:r>
    </w:p>
    <w:p>
      <w:r>
        <w:t>每个学习项目页面都会显示学习时长、ECTS 学分、授课语言以及入学要求。</w:t>
      </w:r>
    </w:p>
    <w:p>
      <w:pPr>
        <w:pStyle w:val="Heading1"/>
      </w:pPr>
      <w:r>
        <w:t>Course Detail Page</w:t>
      </w:r>
    </w:p>
    <w:p>
      <w:r>
        <w:t>Detailed course pages include course information, schedule, description and registration data.</w:t>
      </w:r>
    </w:p>
    <w:p>
      <w:r>
        <w:t>课程详情页面包含课程信息、时间安排、课程描述以及报名信息。</w:t>
      </w:r>
    </w:p>
    <w:p>
      <w:pPr>
        <w:pStyle w:val="Heading1"/>
      </w:pPr>
      <w:r>
        <w:t>Bookmark List</w:t>
      </w:r>
    </w:p>
    <w:p>
      <w:r>
        <w:t>Students can add courses to a bookmark list and register later through UNIVIS Online.</w:t>
      </w:r>
    </w:p>
    <w:p>
      <w:r>
        <w:t>学生可以将课程加入备忘清单，并通过 UNIVIS Online 系统进行报名。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