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 Toolkit</w:t>
      </w:r>
    </w:p>
    <w:p>
      <w:pPr>
        <w:pStyle w:val="Heading1"/>
      </w:pPr>
      <w:r>
        <w:t>Purpose of the Toolkit</w:t>
      </w:r>
    </w:p>
    <w:p>
      <w:r>
        <w:rPr>
          <w:sz w:val="22"/>
        </w:rPr>
        <w:t>The MAP Toolkit contains practical templates and tools that support the application of the MAP Framework. These tools help teams structure analysis activities and document their findings in a consistent way.</w:t>
      </w:r>
    </w:p>
    <w:p>
      <w:pPr>
        <w:pStyle w:val="Heading1"/>
      </w:pPr>
      <w:r>
        <w:t>Core Templates</w:t>
      </w:r>
    </w:p>
    <w:p>
      <w:r>
        <w:rPr>
          <w:sz w:val="22"/>
        </w:rPr>
        <w:t>Problem Canvas – used to structure the problem or opportunity.</w:t>
      </w:r>
    </w:p>
    <w:p>
      <w:r>
        <w:rPr>
          <w:sz w:val="22"/>
        </w:rPr>
        <w:t>Stakeholder Map – visual representation of stakeholders.</w:t>
      </w:r>
    </w:p>
    <w:p>
      <w:r>
        <w:rPr>
          <w:sz w:val="22"/>
        </w:rPr>
        <w:t>Persona Template – description of representative stakeholder profiles.</w:t>
      </w:r>
    </w:p>
    <w:p>
      <w:r>
        <w:rPr>
          <w:sz w:val="22"/>
        </w:rPr>
        <w:t>Needs Statement Template – structured articulation of stakeholder needs.</w:t>
      </w:r>
    </w:p>
    <w:p>
      <w:r>
        <w:rPr>
          <w:sz w:val="22"/>
        </w:rPr>
        <w:t>Risk Overview Template – identification of potential project risks.</w:t>
      </w:r>
    </w:p>
    <w:p>
      <w:pPr>
        <w:pStyle w:val="Heading1"/>
      </w:pPr>
      <w:r>
        <w:t>Usage Guidelines</w:t>
      </w:r>
    </w:p>
    <w:p>
      <w:r>
        <w:rPr>
          <w:sz w:val="22"/>
        </w:rPr>
        <w:t>Templates should be used during workshops or analysis sessions to capture insights and ensure consistency of documentation across different projects.</w:t>
      </w:r>
    </w:p>
    <w:p>
      <w:r>
        <w:rPr>
          <w:sz w:val="22"/>
        </w:rPr>
        <w:t>Teams may adapt templates as needed while maintaining the core structure defined by the MAP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