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rFonts w:ascii="黑体" w:hAnsi="黑体" w:eastAsia="黑体"/>
          <w:b/>
          <w:color w:val="2467DC"/>
          <w:sz w:val="44"/>
        </w:rPr>
        <w:t>智能识别场景路由</w:t>
      </w:r>
    </w:p>
    <w:p>
      <w:pPr>
        <w:spacing w:after="280"/>
      </w:pPr>
      <w:r>
        <w:rPr>
          <w:rFonts w:ascii="宋体" w:hAnsi="宋体" w:eastAsia="宋体"/>
          <w:b w:val="0"/>
          <w:color w:val="6B7C93"/>
          <w:sz w:val="21"/>
        </w:rPr>
        <w:t>自动匹配最合适的业务模板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会议纪要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5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管理简报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0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个人备忘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0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业务记录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0</w:t>
            </w:r>
          </w:p>
        </w:tc>
      </w:tr>
    </w:tbl>
    <w:p>
      <w:pPr>
        <w:spacing w:before="240" w:after="60"/>
      </w:pPr>
      <w:r>
        <w:rPr>
          <w:rFonts w:ascii="黑体" w:hAnsi="黑体" w:eastAsia="黑体"/>
          <w:b/>
          <w:color w:val="2467DC"/>
          <w:sz w:val="24"/>
        </w:rPr>
        <w:t>智能信息概览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70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7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2467DC"/>
          <w:sz w:val="26"/>
        </w:rPr>
        <w:t>一、识别结果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目标场景：会议纪要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识别依据：五方验收、施工单位、监理单位、竣工资料归档形成组合证据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建议模板：会议纪要_工地例会原版式模板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2467DC"/>
          <w:sz w:val="26"/>
        </w:rPr>
        <w:t>二、处理说明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已自动选择工程会议纪要模板，并进入人工校核流程。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A8AA2"/>
        <w:sz w:val="17"/>
      </w:rPr>
      <w:t xml:space="preserve">筑听平台 · 上海建科咨询集团  |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6" w:color="2467DC"/>
      </w:pBdr>
    </w:pPr>
    <w:r>
      <w:drawing>
        <wp:inline xmlns:a="http://schemas.openxmlformats.org/drawingml/2006/main" xmlns:pic="http://schemas.openxmlformats.org/drawingml/2006/picture">
          <wp:extent cx="540000" cy="8544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ibs-meeting-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8544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智能识别场景路由</dc:title>
  <dc:subject>筑听平台场景化结构化报告</dc:subject>
  <dc:creator>上海建科咨询集团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