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left"/>
      </w:pPr>
      <w:r>
        <w:rPr>
          <w:rFonts w:ascii="黑体" w:hAnsi="黑体" w:eastAsia="黑体"/>
          <w:b/>
          <w:color w:val="C96D20"/>
          <w:sz w:val="44"/>
        </w:rPr>
        <w:t>客户拜访会议纪要</w:t>
      </w:r>
    </w:p>
    <w:p>
      <w:pPr>
        <w:spacing w:after="280"/>
      </w:pPr>
      <w:r>
        <w:rPr>
          <w:rFonts w:ascii="宋体" w:hAnsi="宋体" w:eastAsia="宋体"/>
          <w:b w:val="0"/>
          <w:color w:val="6B7C93"/>
          <w:sz w:val="21"/>
        </w:rPr>
        <w:t>客户诉求、沟通结论与商机跟进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客户诉求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C96D20"/>
                <w:sz w:val="34"/>
              </w:rPr>
              <w:t>4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沟通要点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C96D20"/>
                <w:sz w:val="34"/>
              </w:rPr>
              <w:t>3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待办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C96D20"/>
                <w:sz w:val="34"/>
              </w:rPr>
              <w:t>1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风险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C96D20"/>
                <w:sz w:val="34"/>
              </w:rPr>
              <w:t>2</w:t>
            </w:r>
          </w:p>
        </w:tc>
      </w:tr>
    </w:tbl>
    <w:p>
      <w:pPr>
        <w:spacing w:before="240" w:after="60"/>
      </w:pPr>
      <w:r>
        <w:rPr>
          <w:rFonts w:ascii="黑体" w:hAnsi="黑体" w:eastAsia="黑体"/>
          <w:b/>
          <w:color w:val="C96D20"/>
          <w:sz w:val="24"/>
        </w:rPr>
        <w:t>智能信息概览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670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7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拜访客户：示例客户集团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拜访日期：2026年7月11日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拜访地点：客户总部会议室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C96D20"/>
          <w:sz w:val="26"/>
        </w:rPr>
        <w:t>一、拜访背景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围绕工程项目会议知识沉淀与智能报告开展需求沟通。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C96D20"/>
          <w:sz w:val="26"/>
        </w:rPr>
        <w:t>二、客户核心诉求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C96D20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关注点</w:t>
            </w:r>
          </w:p>
        </w:tc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C96D20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具体诉求</w:t>
            </w:r>
          </w:p>
        </w:tc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C96D20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初步回应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识别准确率</w:t>
            </w:r>
          </w:p>
        </w:tc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工程术语与多人会议准确识别</w:t>
            </w:r>
          </w:p>
        </w:tc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提供领域词表与人工校核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数据安全</w:t>
            </w:r>
          </w:p>
        </w:tc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会议资料分级授权</w:t>
            </w:r>
          </w:p>
        </w:tc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支持私有化部署与权限控制</w:t>
            </w:r>
          </w:p>
        </w:tc>
      </w:tr>
    </w:tbl>
    <w:p>
      <w:pPr>
        <w:spacing w:after="40"/>
      </w:pPr>
    </w:p>
    <w:p>
      <w:pPr>
        <w:keepNext/>
        <w:spacing w:before="240" w:after="100"/>
      </w:pPr>
      <w:r>
        <w:rPr>
          <w:rFonts w:ascii="黑体" w:hAnsi="黑体" w:eastAsia="黑体"/>
          <w:b/>
          <w:color w:val="C96D20"/>
          <w:sz w:val="26"/>
        </w:rPr>
        <w:t>三、会议沟通要点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客户认可自动场景识别方向，建议先选择一个项目试点。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C96D20"/>
          <w:sz w:val="26"/>
        </w:rPr>
        <w:t>四、待办与跟进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C96D20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C96D20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责任方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C96D20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完成时间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C96D20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交付物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提交试点方案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建科方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7月15日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试点实施方案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确认样本范围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客户方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7月16日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脱敏录音清单</w:t>
            </w:r>
          </w:p>
        </w:tc>
      </w:tr>
    </w:tbl>
    <w:p>
      <w:pPr>
        <w:spacing w:after="40"/>
      </w:pPr>
    </w:p>
    <w:p>
      <w:pPr>
        <w:keepNext/>
        <w:spacing w:before="240" w:after="100"/>
      </w:pPr>
      <w:r>
        <w:rPr>
          <w:rFonts w:ascii="黑体" w:hAnsi="黑体" w:eastAsia="黑体"/>
          <w:b/>
          <w:color w:val="C96D20"/>
          <w:sz w:val="26"/>
        </w:rPr>
        <w:t>五、机会与风险判断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试点意向明确；需提前确认数据合规边界。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7A8AA2"/>
        <w:sz w:val="17"/>
      </w:rPr>
      <w:t xml:space="preserve">筑听平台 · 上海建科咨询集团  |  </w:t>
    </w:r>
    <w:r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6" w:color="C96D20"/>
      </w:pBdr>
    </w:pPr>
    <w:r>
      <w:drawing>
        <wp:inline xmlns:a="http://schemas.openxmlformats.org/drawingml/2006/main" xmlns:pic="http://schemas.openxmlformats.org/drawingml/2006/picture">
          <wp:extent cx="540000" cy="8544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ribs-meeting-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" cy="85443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客户拜访会议纪要</dc:title>
  <dc:subject>筑听平台场景化结构化报告</dc:subject>
  <dc:creator>上海建科咨询集团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