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left"/>
      </w:pPr>
      <w:r>
        <w:rPr>
          <w:rFonts w:ascii="黑体" w:hAnsi="黑体" w:eastAsia="黑体"/>
          <w:b/>
          <w:color w:val="2467DC"/>
          <w:sz w:val="44"/>
        </w:rPr>
        <w:t>管理简报</w:t>
      </w:r>
    </w:p>
    <w:p>
      <w:pPr>
        <w:spacing w:after="280"/>
      </w:pPr>
      <w:r>
        <w:rPr>
          <w:rFonts w:ascii="宋体" w:hAnsi="宋体" w:eastAsia="宋体"/>
          <w:b w:val="0"/>
          <w:color w:val="6B7C93"/>
          <w:sz w:val="21"/>
        </w:rPr>
        <w:t>管理动态、风险异常与决策事项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2466"/>
            <w:shd w:fill="F2F6FC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B7C93"/>
                <w:sz w:val="17"/>
              </w:rPr>
              <w:t>重点事项</w:t>
            </w:r>
          </w:p>
          <w:p>
            <w:pPr>
              <w:jc w:val="center"/>
            </w:pPr>
            <w:r>
              <w:rPr>
                <w:rFonts w:ascii="黑体" w:hAnsi="黑体" w:eastAsia="黑体"/>
                <w:b/>
                <w:color w:val="2467DC"/>
                <w:sz w:val="34"/>
              </w:rPr>
              <w:t>4</w:t>
            </w:r>
          </w:p>
        </w:tc>
        <w:tc>
          <w:tcPr>
            <w:tcW w:type="dxa" w:w="2466"/>
            <w:shd w:fill="F2F6FC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B7C93"/>
                <w:sz w:val="17"/>
              </w:rPr>
              <w:t>待办</w:t>
            </w:r>
          </w:p>
          <w:p>
            <w:pPr>
              <w:jc w:val="center"/>
            </w:pPr>
            <w:r>
              <w:rPr>
                <w:rFonts w:ascii="黑体" w:hAnsi="黑体" w:eastAsia="黑体"/>
                <w:b/>
                <w:color w:val="2467DC"/>
                <w:sz w:val="34"/>
              </w:rPr>
              <w:t>1</w:t>
            </w:r>
          </w:p>
        </w:tc>
        <w:tc>
          <w:tcPr>
            <w:tcW w:type="dxa" w:w="2466"/>
            <w:shd w:fill="F2F6FC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B7C93"/>
                <w:sz w:val="17"/>
              </w:rPr>
              <w:t>风险</w:t>
            </w:r>
          </w:p>
          <w:p>
            <w:pPr>
              <w:jc w:val="center"/>
            </w:pPr>
            <w:r>
              <w:rPr>
                <w:rFonts w:ascii="黑体" w:hAnsi="黑体" w:eastAsia="黑体"/>
                <w:b/>
                <w:color w:val="2467DC"/>
                <w:sz w:val="34"/>
              </w:rPr>
              <w:t>3</w:t>
            </w:r>
          </w:p>
        </w:tc>
        <w:tc>
          <w:tcPr>
            <w:tcW w:type="dxa" w:w="2466"/>
            <w:shd w:fill="F2F6FC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B7C93"/>
                <w:sz w:val="17"/>
              </w:rPr>
              <w:t>决策</w:t>
            </w:r>
          </w:p>
          <w:p>
            <w:pPr>
              <w:jc w:val="center"/>
            </w:pPr>
            <w:r>
              <w:rPr>
                <w:rFonts w:ascii="黑体" w:hAnsi="黑体" w:eastAsia="黑体"/>
                <w:b/>
                <w:color w:val="2467DC"/>
                <w:sz w:val="34"/>
              </w:rPr>
              <w:t>4</w:t>
            </w:r>
          </w:p>
        </w:tc>
      </w:tr>
    </w:tbl>
    <w:p>
      <w:pPr>
        <w:spacing w:before="240" w:after="60"/>
      </w:pPr>
      <w:r>
        <w:rPr>
          <w:rFonts w:ascii="黑体" w:hAnsi="黑体" w:eastAsia="黑体"/>
          <w:b/>
          <w:color w:val="2467DC"/>
          <w:sz w:val="24"/>
        </w:rPr>
        <w:t>智能信息概览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670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70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汇报周期：2026年第28周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汇报对象：经营管理层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信息来源：项目周例会</w:t>
      </w:r>
    </w:p>
    <w:p>
      <w:pPr>
        <w:keepNext/>
        <w:spacing w:before="240" w:after="100"/>
      </w:pPr>
      <w:r>
        <w:rPr>
          <w:rFonts w:ascii="黑体" w:hAnsi="黑体" w:eastAsia="黑体"/>
          <w:b/>
          <w:color w:val="2467DC"/>
          <w:sz w:val="26"/>
        </w:rPr>
        <w:t>一、总体概览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本周期关键动态：三个重点项目按计划推进，一个项目存在回款延迟。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需要领导重点关注：协调客户确认付款节点。</w:t>
      </w:r>
    </w:p>
    <w:p>
      <w:pPr>
        <w:keepNext/>
        <w:spacing w:before="240" w:after="100"/>
      </w:pPr>
      <w:r>
        <w:rPr>
          <w:rFonts w:ascii="黑体" w:hAnsi="黑体" w:eastAsia="黑体"/>
          <w:b/>
          <w:color w:val="2467DC"/>
          <w:sz w:val="26"/>
        </w:rPr>
        <w:t>二、重要事项进展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2467DC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2467DC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负责人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2467DC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最新进展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2467DC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下一步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项目A交付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张经理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已完成阶段验收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7月15日前归档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项目B回款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李经理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客户内部审批中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提交补充材料</w:t>
            </w:r>
          </w:p>
        </w:tc>
      </w:tr>
    </w:tbl>
    <w:p>
      <w:pPr>
        <w:spacing w:after="40"/>
      </w:pPr>
    </w:p>
    <w:p>
      <w:pPr>
        <w:keepNext/>
        <w:spacing w:before="240" w:after="100"/>
      </w:pPr>
      <w:r>
        <w:rPr>
          <w:rFonts w:ascii="黑体" w:hAnsi="黑体" w:eastAsia="黑体"/>
          <w:b/>
          <w:color w:val="2467DC"/>
          <w:sz w:val="26"/>
        </w:rPr>
        <w:t>三、风险与异常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328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2467DC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328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2467DC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328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2467DC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建议处理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回款延迟</w:t>
            </w:r>
          </w:p>
        </w:tc>
        <w:tc>
          <w:tcPr>
            <w:tcW w:type="dxa" w:w="328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影响季度现金流</w:t>
            </w:r>
          </w:p>
        </w:tc>
        <w:tc>
          <w:tcPr>
            <w:tcW w:type="dxa" w:w="328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由分管领导牵头协调</w:t>
            </w:r>
          </w:p>
        </w:tc>
      </w:tr>
    </w:tbl>
    <w:p>
      <w:pPr>
        <w:spacing w:after="40"/>
      </w:pPr>
    </w:p>
    <w:p>
      <w:pPr>
        <w:keepNext/>
        <w:spacing w:before="240" w:after="100"/>
      </w:pPr>
      <w:r>
        <w:rPr>
          <w:rFonts w:ascii="黑体" w:hAnsi="黑体" w:eastAsia="黑体"/>
          <w:b/>
          <w:color w:val="2467DC"/>
          <w:sz w:val="26"/>
        </w:rPr>
        <w:t>四、需决策与协调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建议批准项目B专项客户沟通方案。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020" w:bottom="102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7A8AA2"/>
        <w:sz w:val="17"/>
      </w:rPr>
      <w:t xml:space="preserve">筑听平台 · 上海建科咨询集团  |  </w:t>
    </w:r>
    <w:r>
      <w:fldChar w:fldCharType="begin"/>
      <w:instrText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6" w:color="2467DC"/>
      </w:pBdr>
    </w:pPr>
    <w:r>
      <w:drawing>
        <wp:inline xmlns:a="http://schemas.openxmlformats.org/drawingml/2006/main" xmlns:pic="http://schemas.openxmlformats.org/drawingml/2006/picture">
          <wp:extent cx="540000" cy="85443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ribs-meeting-logo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" cy="85443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管理简报</dc:title>
  <dc:subject>筑听平台场景化结构化报告</dc:subject>
  <dc:creator>上海建科咨询集团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