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Noto Sans CJK SC" w:hAnsi="Noto Sans CJK SC" w:eastAsia="Noto Sans CJK SC"/>
          <w:b/>
          <w:color w:val="1F4E79"/>
          <w:sz w:val="40"/>
        </w:rPr>
        <w:t>面试记录与候选人反馈表</w:t>
      </w:r>
    </w:p>
    <w:p>
      <w:pPr>
        <w:jc w:val="center"/>
      </w:pPr>
      <w:r>
        <w:rPr>
          <w:rFonts w:ascii="Noto Sans CJK SC" w:hAnsi="Noto Sans CJK SC" w:eastAsia="Noto Sans CJK SC"/>
          <w:color w:val="5A5A5A"/>
          <w:sz w:val="19"/>
        </w:rPr>
        <w:t>HR 视角｜面试过程记录、能力评价、录用建议与后续跟进</w:t>
      </w:r>
    </w:p>
    <w:p>
      <w:pPr>
        <w:pStyle w:val="Heading1"/>
        <w:spacing w:before="200" w:after="120"/>
      </w:pPr>
      <w:r>
        <w:rPr>
          <w:rFonts w:ascii="Noto Sans CJK SC" w:hAnsi="Noto Sans CJK SC" w:eastAsia="Noto Sans CJK SC"/>
          <w:b/>
          <w:color w:val="1F4E79"/>
          <w:sz w:val="28"/>
        </w:rPr>
        <w:t>一、基础信息</w:t>
      </w:r>
    </w:p>
    <w:tbl>
      <w:tblPr>
        <w:tblW w:type="auto" w:w="0"/>
        <w:jc w:val="center"/>
        <w:tblLayout w:type="fixed"/>
        <w:tblLook w:firstColumn="1" w:firstRow="1" w:lastColumn="0" w:lastRow="0" w:noHBand="0" w:noVBand="1" w:val="04A0"/>
      </w:tblPr>
      <w:tblGrid>
        <w:gridCol w:w="2578"/>
        <w:gridCol w:w="2578"/>
        <w:gridCol w:w="2578"/>
        <w:gridCol w:w="2578"/>
      </w:tblGrid>
      <w:tr>
        <w:tc>
          <w:tcPr>
            <w:tcW w:type="dxa" w:w="1701"/>
            <w:vAlign w:val="center"/>
            <w:tcMar>
              <w:top w:w="80" w:type="dxa"/>
              <w:start w:w="90" w:type="dxa"/>
              <w:bottom w:w="80" w:type="dxa"/>
              <w:end w:w="90" w:type="dxa"/>
            </w:tcMar>
            <w:shd w:fill="F4F7FB"/>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候选人</w:t>
            </w:r>
          </w:p>
        </w:tc>
        <w:tc>
          <w:tcPr>
            <w:tcW w:type="dxa" w:w="2381"/>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张某某</w:t>
            </w:r>
          </w:p>
        </w:tc>
        <w:tc>
          <w:tcPr>
            <w:tcW w:type="dxa" w:w="1701"/>
            <w:vAlign w:val="center"/>
            <w:tcMar>
              <w:top w:w="80" w:type="dxa"/>
              <w:start w:w="90" w:type="dxa"/>
              <w:bottom w:w="80" w:type="dxa"/>
              <w:end w:w="90" w:type="dxa"/>
            </w:tcMar>
            <w:shd w:fill="F4F7FB"/>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应聘岗位</w:t>
            </w:r>
          </w:p>
        </w:tc>
        <w:tc>
          <w:tcPr>
            <w:tcW w:type="dxa" w:w="3061"/>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产品运营专员</w:t>
            </w:r>
          </w:p>
        </w:tc>
      </w:tr>
      <w:tr>
        <w:tc>
          <w:tcPr>
            <w:tcW w:type="dxa" w:w="1701"/>
            <w:vAlign w:val="center"/>
            <w:tcMar>
              <w:top w:w="80" w:type="dxa"/>
              <w:start w:w="90" w:type="dxa"/>
              <w:bottom w:w="80" w:type="dxa"/>
              <w:end w:w="90" w:type="dxa"/>
            </w:tcMar>
            <w:shd w:fill="F4F7FB"/>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面试轮次</w:t>
            </w:r>
          </w:p>
        </w:tc>
        <w:tc>
          <w:tcPr>
            <w:tcW w:type="dxa" w:w="2381"/>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HR 初面</w:t>
            </w:r>
          </w:p>
        </w:tc>
        <w:tc>
          <w:tcPr>
            <w:tcW w:type="dxa" w:w="1701"/>
            <w:vAlign w:val="center"/>
            <w:tcMar>
              <w:top w:w="80" w:type="dxa"/>
              <w:start w:w="90" w:type="dxa"/>
              <w:bottom w:w="80" w:type="dxa"/>
              <w:end w:w="90" w:type="dxa"/>
            </w:tcMar>
            <w:shd w:fill="F4F7FB"/>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面试方式</w:t>
            </w:r>
          </w:p>
        </w:tc>
        <w:tc>
          <w:tcPr>
            <w:tcW w:type="dxa" w:w="3061"/>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线下 / 结构化面试</w:t>
            </w:r>
          </w:p>
        </w:tc>
      </w:tr>
      <w:tr>
        <w:tc>
          <w:tcPr>
            <w:tcW w:type="dxa" w:w="1701"/>
            <w:vAlign w:val="center"/>
            <w:tcMar>
              <w:top w:w="80" w:type="dxa"/>
              <w:start w:w="90" w:type="dxa"/>
              <w:bottom w:w="80" w:type="dxa"/>
              <w:end w:w="90" w:type="dxa"/>
            </w:tcMar>
            <w:shd w:fill="F4F7FB"/>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面试时间</w:t>
            </w:r>
          </w:p>
        </w:tc>
        <w:tc>
          <w:tcPr>
            <w:tcW w:type="dxa" w:w="2381"/>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2026 年 6 月 30 日 14:00-14:45</w:t>
            </w:r>
          </w:p>
        </w:tc>
        <w:tc>
          <w:tcPr>
            <w:tcW w:type="dxa" w:w="1701"/>
            <w:vAlign w:val="center"/>
            <w:tcMar>
              <w:top w:w="80" w:type="dxa"/>
              <w:start w:w="90" w:type="dxa"/>
              <w:bottom w:w="80" w:type="dxa"/>
              <w:end w:w="90" w:type="dxa"/>
            </w:tcMar>
            <w:shd w:fill="F4F7FB"/>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面试地点</w:t>
            </w:r>
          </w:p>
        </w:tc>
        <w:tc>
          <w:tcPr>
            <w:tcW w:type="dxa" w:w="3061"/>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上海总部 8F 会议室</w:t>
            </w:r>
          </w:p>
        </w:tc>
      </w:tr>
      <w:tr>
        <w:tc>
          <w:tcPr>
            <w:tcW w:type="dxa" w:w="1701"/>
            <w:vAlign w:val="center"/>
            <w:tcMar>
              <w:top w:w="80" w:type="dxa"/>
              <w:start w:w="90" w:type="dxa"/>
              <w:bottom w:w="80" w:type="dxa"/>
              <w:end w:w="90" w:type="dxa"/>
            </w:tcMar>
            <w:shd w:fill="F4F7FB"/>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记录人</w:t>
            </w:r>
          </w:p>
        </w:tc>
        <w:tc>
          <w:tcPr>
            <w:tcW w:type="dxa" w:w="2381"/>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人力资源部 李某</w:t>
            </w:r>
          </w:p>
        </w:tc>
        <w:tc>
          <w:tcPr>
            <w:tcW w:type="dxa" w:w="1701"/>
            <w:vAlign w:val="center"/>
            <w:tcMar>
              <w:top w:w="80" w:type="dxa"/>
              <w:start w:w="90" w:type="dxa"/>
              <w:bottom w:w="80" w:type="dxa"/>
              <w:end w:w="90" w:type="dxa"/>
            </w:tcMar>
            <w:shd w:fill="F4F7FB"/>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候选人来源</w:t>
            </w:r>
          </w:p>
        </w:tc>
        <w:tc>
          <w:tcPr>
            <w:tcW w:type="dxa" w:w="3061"/>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内部推荐 / 招聘平台</w:t>
            </w:r>
          </w:p>
        </w:tc>
      </w:tr>
    </w:tbl>
    <w:p>
      <w:pPr>
        <w:pStyle w:val="Heading1"/>
        <w:spacing w:before="200" w:after="120"/>
      </w:pPr>
      <w:r>
        <w:rPr>
          <w:rFonts w:ascii="Noto Sans CJK SC" w:hAnsi="Noto Sans CJK SC" w:eastAsia="Noto Sans CJK SC"/>
          <w:b/>
          <w:color w:val="1F4E79"/>
          <w:sz w:val="28"/>
        </w:rPr>
        <w:t>二、面试结论摘要</w:t>
      </w:r>
    </w:p>
    <w:tbl>
      <w:tblPr>
        <w:tblW w:type="auto" w:w="0"/>
        <w:jc w:val="center"/>
        <w:tblLayout w:type="fixed"/>
        <w:tblLook w:firstColumn="1" w:firstRow="1" w:lastColumn="0" w:lastRow="0" w:noHBand="0" w:noVBand="1" w:val="04A0"/>
      </w:tblPr>
      <w:tblGrid>
        <w:gridCol w:w="2578"/>
        <w:gridCol w:w="2578"/>
        <w:gridCol w:w="2578"/>
        <w:gridCol w:w="2578"/>
      </w:tblGrid>
      <w:tr>
        <w:tc>
          <w:tcPr>
            <w:tcW w:type="dxa" w:w="1701"/>
            <w:vAlign w:val="center"/>
            <w:tcMar>
              <w:top w:w="80" w:type="dxa"/>
              <w:start w:w="90" w:type="dxa"/>
              <w:bottom w:w="80" w:type="dxa"/>
              <w:end w:w="90" w:type="dxa"/>
            </w:tcMar>
            <w:shd w:fill="F4F7FB"/>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综合评价</w:t>
            </w:r>
          </w:p>
        </w:tc>
        <w:tc>
          <w:tcPr>
            <w:tcW w:type="dxa" w:w="2268"/>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较匹配</w:t>
            </w:r>
          </w:p>
        </w:tc>
        <w:tc>
          <w:tcPr>
            <w:tcW w:type="dxa" w:w="1701"/>
            <w:vAlign w:val="center"/>
            <w:tcMar>
              <w:top w:w="80" w:type="dxa"/>
              <w:start w:w="90" w:type="dxa"/>
              <w:bottom w:w="80" w:type="dxa"/>
              <w:end w:w="90" w:type="dxa"/>
            </w:tcMar>
            <w:shd w:fill="F4F7FB"/>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建议结果</w:t>
            </w:r>
          </w:p>
        </w:tc>
        <w:tc>
          <w:tcPr>
            <w:tcW w:type="dxa" w:w="3175"/>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进入业务复面</w:t>
            </w:r>
          </w:p>
        </w:tc>
      </w:tr>
      <w:tr>
        <w:tc>
          <w:tcPr>
            <w:tcW w:type="dxa" w:w="1701"/>
            <w:vAlign w:val="center"/>
            <w:tcMar>
              <w:top w:w="80" w:type="dxa"/>
              <w:start w:w="90" w:type="dxa"/>
              <w:bottom w:w="80" w:type="dxa"/>
              <w:end w:w="90" w:type="dxa"/>
            </w:tcMar>
            <w:shd w:fill="F4F7FB"/>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匹配方向</w:t>
            </w:r>
          </w:p>
        </w:tc>
        <w:tc>
          <w:tcPr>
            <w:tcW w:type="dxa" w:w="2268"/>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产品运营 / 项目支持</w:t>
            </w:r>
          </w:p>
        </w:tc>
        <w:tc>
          <w:tcPr>
            <w:tcW w:type="dxa" w:w="1701"/>
            <w:vAlign w:val="center"/>
            <w:tcMar>
              <w:top w:w="80" w:type="dxa"/>
              <w:start w:w="90" w:type="dxa"/>
              <w:bottom w:w="80" w:type="dxa"/>
              <w:end w:w="90" w:type="dxa"/>
            </w:tcMar>
            <w:shd w:fill="F4F7FB"/>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风险等级</w:t>
            </w:r>
          </w:p>
        </w:tc>
        <w:tc>
          <w:tcPr>
            <w:tcW w:type="dxa" w:w="3175"/>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中低</w:t>
            </w:r>
          </w:p>
        </w:tc>
      </w:tr>
      <w:tr>
        <w:tc>
          <w:tcPr>
            <w:tcW w:type="dxa" w:w="1701"/>
            <w:vAlign w:val="center"/>
            <w:tcMar>
              <w:top w:w="80" w:type="dxa"/>
              <w:start w:w="90" w:type="dxa"/>
              <w:bottom w:w="80" w:type="dxa"/>
              <w:end w:w="90" w:type="dxa"/>
            </w:tcMar>
            <w:shd w:fill="F4F7FB"/>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建议薪资区间</w:t>
            </w:r>
          </w:p>
        </w:tc>
        <w:tc>
          <w:tcPr>
            <w:tcW w:type="dxa" w:w="2268"/>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面议，结合业务复面确定</w:t>
            </w:r>
          </w:p>
        </w:tc>
        <w:tc>
          <w:tcPr>
            <w:tcW w:type="dxa" w:w="1701"/>
            <w:vAlign w:val="center"/>
            <w:tcMar>
              <w:top w:w="80" w:type="dxa"/>
              <w:start w:w="90" w:type="dxa"/>
              <w:bottom w:w="80" w:type="dxa"/>
              <w:end w:w="90" w:type="dxa"/>
            </w:tcMar>
            <w:shd w:fill="F4F7FB"/>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到岗周期</w:t>
            </w:r>
          </w:p>
        </w:tc>
        <w:tc>
          <w:tcPr>
            <w:tcW w:type="dxa" w:w="3175"/>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约 2-3 周</w:t>
            </w:r>
          </w:p>
        </w:tc>
      </w:tr>
    </w:tbl>
    <w:p>
      <w:pPr>
        <w:spacing w:before="80" w:after="120" w:line="283" w:lineRule="auto"/>
      </w:pPr>
      <w:r>
        <w:rPr>
          <w:rFonts w:ascii="Noto Sans CJK SC" w:hAnsi="Noto Sans CJK SC" w:eastAsia="Noto Sans CJK SC"/>
          <w:color w:val="232323"/>
          <w:sz w:val="19"/>
        </w:rPr>
        <w:t>HR 总体判断：候选人表达清晰，职业稳定性较好，对岗位职责和协作边界有基本认知；过往经历与产品资料整理、跨部门沟通、用户反馈跟进等工作存在一定匹配度。当前不足在于对复杂业务场景的拆解深度仍需通过业务复面进一步验证。</w:t>
      </w:r>
    </w:p>
    <w:p>
      <w:pPr>
        <w:pStyle w:val="Heading1"/>
        <w:spacing w:before="200" w:after="120"/>
      </w:pPr>
      <w:r>
        <w:rPr>
          <w:rFonts w:ascii="Noto Sans CJK SC" w:hAnsi="Noto Sans CJK SC" w:eastAsia="Noto Sans CJK SC"/>
          <w:b/>
          <w:color w:val="1F4E79"/>
          <w:sz w:val="28"/>
        </w:rPr>
        <w:t>三、面试过程记录</w:t>
      </w:r>
    </w:p>
    <w:tbl>
      <w:tblPr>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1304"/>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shd w:fill="EEF3F9"/>
          </w:tcPr>
          <w:p>
            <w:pPr>
              <w:spacing w:after="0" w:line="252" w:lineRule="auto"/>
              <w:jc w:val="center"/>
            </w:pPr>
            <w:r>
              <w:rPr>
                <w:rFonts w:ascii="Noto Sans CJK SC" w:hAnsi="Noto Sans CJK SC" w:eastAsia="Noto Sans CJK SC"/>
                <w:b/>
                <w:color w:val="1F4E79"/>
                <w:sz w:val="19"/>
              </w:rPr>
            </w:r>
            <w:r>
              <w:rPr>
                <w:rFonts w:ascii="Noto Sans CJK SC" w:hAnsi="Noto Sans CJK SC" w:eastAsia="Noto Sans CJK SC"/>
                <w:b/>
                <w:color w:val="1F4E79"/>
                <w:sz w:val="19"/>
              </w:rPr>
              <w:t>面试环节</w:t>
            </w:r>
          </w:p>
        </w:tc>
        <w:tc>
          <w:tcPr>
            <w:tcW w:type="dxa" w:w="1928"/>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shd w:fill="EEF3F9"/>
          </w:tcPr>
          <w:p>
            <w:pPr>
              <w:spacing w:after="0" w:line="252" w:lineRule="auto"/>
              <w:jc w:val="center"/>
            </w:pPr>
            <w:r>
              <w:rPr>
                <w:rFonts w:ascii="Noto Sans CJK SC" w:hAnsi="Noto Sans CJK SC" w:eastAsia="Noto Sans CJK SC"/>
                <w:b/>
                <w:color w:val="1F4E79"/>
                <w:sz w:val="19"/>
              </w:rPr>
            </w:r>
            <w:r>
              <w:rPr>
                <w:rFonts w:ascii="Noto Sans CJK SC" w:hAnsi="Noto Sans CJK SC" w:eastAsia="Noto Sans CJK SC"/>
                <w:b/>
                <w:color w:val="1F4E79"/>
                <w:sz w:val="19"/>
              </w:rPr>
              <w:t>HR 提问重点</w:t>
            </w:r>
          </w:p>
        </w:tc>
        <w:tc>
          <w:tcPr>
            <w:tcW w:type="dxa" w:w="3005"/>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shd w:fill="EEF3F9"/>
          </w:tcPr>
          <w:p>
            <w:pPr>
              <w:spacing w:after="0" w:line="252" w:lineRule="auto"/>
              <w:jc w:val="center"/>
            </w:pPr>
            <w:r>
              <w:rPr>
                <w:rFonts w:ascii="Noto Sans CJK SC" w:hAnsi="Noto Sans CJK SC" w:eastAsia="Noto Sans CJK SC"/>
                <w:b/>
                <w:color w:val="1F4E79"/>
                <w:sz w:val="19"/>
              </w:rPr>
            </w:r>
            <w:r>
              <w:rPr>
                <w:rFonts w:ascii="Noto Sans CJK SC" w:hAnsi="Noto Sans CJK SC" w:eastAsia="Noto Sans CJK SC"/>
                <w:b/>
                <w:color w:val="1F4E79"/>
                <w:sz w:val="19"/>
              </w:rPr>
              <w:t>候选人反馈摘要</w:t>
            </w:r>
          </w:p>
        </w:tc>
        <w:tc>
          <w:tcPr>
            <w:tcW w:type="dxa" w:w="2835"/>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shd w:fill="EEF3F9"/>
          </w:tcPr>
          <w:p>
            <w:pPr>
              <w:spacing w:after="0" w:line="252" w:lineRule="auto"/>
              <w:jc w:val="center"/>
            </w:pPr>
            <w:r>
              <w:rPr>
                <w:rFonts w:ascii="Noto Sans CJK SC" w:hAnsi="Noto Sans CJK SC" w:eastAsia="Noto Sans CJK SC"/>
                <w:b/>
                <w:color w:val="1F4E79"/>
                <w:sz w:val="19"/>
              </w:rPr>
            </w:r>
            <w:r>
              <w:rPr>
                <w:rFonts w:ascii="Noto Sans CJK SC" w:hAnsi="Noto Sans CJK SC" w:eastAsia="Noto Sans CJK SC"/>
                <w:b/>
                <w:color w:val="1F4E79"/>
                <w:sz w:val="19"/>
              </w:rPr>
              <w:t>HR 观察记录</w:t>
            </w:r>
          </w:p>
        </w:tc>
      </w:tr>
      <w:tr>
        <w:tc>
          <w:tcPr>
            <w:tcW w:type="dxa" w:w="1304"/>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自我介绍</w:t>
            </w:r>
          </w:p>
        </w:tc>
        <w:tc>
          <w:tcPr>
            <w:tcW w:type="dxa" w:w="1928"/>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过往经历、岗位理解、离职原因</w:t>
            </w:r>
          </w:p>
        </w:tc>
        <w:tc>
          <w:tcPr>
            <w:tcW w:type="dxa" w:w="3005"/>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候选人介绍了 2 年产品运营相关经历，主要负责需求收集、用户反馈整理、产品文档维护及上线后数据跟踪。离职原因以职业发展空间有限为主。</w:t>
            </w:r>
          </w:p>
        </w:tc>
        <w:tc>
          <w:tcPr>
            <w:tcW w:type="dxa" w:w="2835"/>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表达流畅，逻辑完整，未出现明显夸大；对过往职责边界描述较清楚。</w:t>
            </w:r>
          </w:p>
        </w:tc>
      </w:tr>
      <w:tr>
        <w:tc>
          <w:tcPr>
            <w:tcW w:type="dxa" w:w="1304"/>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岗位动机</w:t>
            </w:r>
          </w:p>
        </w:tc>
        <w:tc>
          <w:tcPr>
            <w:tcW w:type="dxa" w:w="1928"/>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为什么选择本岗位、对公司和业务的了解</w:t>
            </w:r>
          </w:p>
        </w:tc>
        <w:tc>
          <w:tcPr>
            <w:tcW w:type="dxa" w:w="3005"/>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候选人表示关注公司数字化产品方向，希望从偏执行型运营逐步转向业务型产品运营，对工程咨询数字化场景有兴趣，但了解程度仍以公开信息为主。</w:t>
            </w:r>
          </w:p>
        </w:tc>
        <w:tc>
          <w:tcPr>
            <w:tcW w:type="dxa" w:w="2835"/>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动机较真实，意愿稳定；行业理解尚浅，需评估学习速度。</w:t>
            </w:r>
          </w:p>
        </w:tc>
      </w:tr>
      <w:tr>
        <w:tc>
          <w:tcPr>
            <w:tcW w:type="dxa" w:w="1304"/>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行为面试</w:t>
            </w:r>
          </w:p>
        </w:tc>
        <w:tc>
          <w:tcPr>
            <w:tcW w:type="dxa" w:w="1928"/>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跨部门沟通、压力处理、冲突解决</w:t>
            </w:r>
          </w:p>
        </w:tc>
        <w:tc>
          <w:tcPr>
            <w:tcW w:type="dxa" w:w="3005"/>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曾负责协调研发、设计和销售处理客户反馈，遇到需求频繁变更时，会先确认优先级，再形成任务清单同步各方。</w:t>
            </w:r>
          </w:p>
        </w:tc>
        <w:tc>
          <w:tcPr>
            <w:tcW w:type="dxa" w:w="2835"/>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具备基本协同意识，能用事项清单推动进展；对冲突背后的业务取舍表达还不够深入。</w:t>
            </w:r>
          </w:p>
        </w:tc>
      </w:tr>
      <w:tr>
        <w:tc>
          <w:tcPr>
            <w:tcW w:type="dxa" w:w="1304"/>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能力核验</w:t>
            </w:r>
          </w:p>
        </w:tc>
        <w:tc>
          <w:tcPr>
            <w:tcW w:type="dxa" w:w="1928"/>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文档能力、数据意识、执行闭环</w:t>
            </w:r>
          </w:p>
        </w:tc>
        <w:tc>
          <w:tcPr>
            <w:tcW w:type="dxa" w:w="3005"/>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能够说明需求文档、上线说明、用户反馈表的整理方式；提到会关注活跃用户、留存、反馈转化等指标。</w:t>
            </w:r>
          </w:p>
        </w:tc>
        <w:tc>
          <w:tcPr>
            <w:tcW w:type="dxa" w:w="2835"/>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具备基础产品运营方法，偏执行落地型；数据分析能力需业务复面进一步验证。</w:t>
            </w:r>
          </w:p>
        </w:tc>
      </w:tr>
      <w:tr>
        <w:tc>
          <w:tcPr>
            <w:tcW w:type="dxa" w:w="1304"/>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期望沟通</w:t>
            </w:r>
          </w:p>
        </w:tc>
        <w:tc>
          <w:tcPr>
            <w:tcW w:type="dxa" w:w="1928"/>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薪资期望、到岗周期、职业规划</w:t>
            </w:r>
          </w:p>
        </w:tc>
        <w:tc>
          <w:tcPr>
            <w:tcW w:type="dxa" w:w="3005"/>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期望薪资与市场区间基本一致，可接受 2-3 周到岗；希望未来参与产品优化与业务流程建设。</w:t>
            </w:r>
          </w:p>
        </w:tc>
        <w:tc>
          <w:tcPr>
            <w:tcW w:type="dxa" w:w="2835"/>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预期相对合理，短期稳定性较好；需要明确岗位成长路径，避免入职后预期偏差。</w:t>
            </w:r>
          </w:p>
        </w:tc>
      </w:tr>
    </w:tbl>
    <w:p>
      <w:pPr>
        <w:pStyle w:val="Heading1"/>
        <w:spacing w:before="200" w:after="120"/>
      </w:pPr>
      <w:r>
        <w:rPr>
          <w:rFonts w:ascii="Noto Sans CJK SC" w:hAnsi="Noto Sans CJK SC" w:eastAsia="Noto Sans CJK SC"/>
          <w:b/>
          <w:color w:val="1F4E79"/>
          <w:sz w:val="28"/>
        </w:rPr>
        <w:t>四、能力评价矩阵</w:t>
      </w:r>
    </w:p>
    <w:tbl>
      <w:tblPr>
        <w:tblW w:type="auto" w:w="0"/>
        <w:jc w:val="center"/>
        <w:tblLayout w:type="fixed"/>
        <w:tblLook w:firstColumn="1" w:firstRow="1" w:lastColumn="0" w:lastRow="0" w:noHBand="0" w:noVBand="1" w:val="04A0"/>
      </w:tblPr>
      <w:tblGrid>
        <w:gridCol w:w="2062"/>
        <w:gridCol w:w="2062"/>
        <w:gridCol w:w="2062"/>
        <w:gridCol w:w="2062"/>
        <w:gridCol w:w="2062"/>
      </w:tblGrid>
      <w:tr>
        <w:trPr>
          <w:tblHeader w:val="true"/>
        </w:trPr>
        <w:tc>
          <w:tcPr>
            <w:tcW w:type="dxa" w:w="1587"/>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shd w:fill="EEF3F9"/>
          </w:tcPr>
          <w:p>
            <w:pPr>
              <w:spacing w:after="0" w:line="252" w:lineRule="auto"/>
              <w:jc w:val="center"/>
            </w:pPr>
            <w:r>
              <w:rPr>
                <w:rFonts w:ascii="Noto Sans CJK SC" w:hAnsi="Noto Sans CJK SC" w:eastAsia="Noto Sans CJK SC"/>
                <w:b/>
                <w:color w:val="1F4E79"/>
                <w:sz w:val="19"/>
              </w:rPr>
            </w:r>
            <w:r>
              <w:rPr>
                <w:rFonts w:ascii="Noto Sans CJK SC" w:hAnsi="Noto Sans CJK SC" w:eastAsia="Noto Sans CJK SC"/>
                <w:b/>
                <w:color w:val="1F4E79"/>
                <w:sz w:val="19"/>
              </w:rPr>
              <w:t>评价维度</w:t>
            </w:r>
          </w:p>
        </w:tc>
        <w:tc>
          <w:tcPr>
            <w:tcW w:type="dxa" w:w="794"/>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shd w:fill="EEF3F9"/>
          </w:tcPr>
          <w:p>
            <w:pPr>
              <w:spacing w:after="0" w:line="252" w:lineRule="auto"/>
              <w:jc w:val="center"/>
            </w:pPr>
            <w:r>
              <w:rPr>
                <w:rFonts w:ascii="Noto Sans CJK SC" w:hAnsi="Noto Sans CJK SC" w:eastAsia="Noto Sans CJK SC"/>
                <w:b/>
                <w:color w:val="1F4E79"/>
                <w:sz w:val="19"/>
              </w:rPr>
            </w:r>
            <w:r>
              <w:rPr>
                <w:rFonts w:ascii="Noto Sans CJK SC" w:hAnsi="Noto Sans CJK SC" w:eastAsia="Noto Sans CJK SC"/>
                <w:b/>
                <w:color w:val="1F4E79"/>
                <w:sz w:val="19"/>
              </w:rPr>
              <w:t>评分</w:t>
            </w:r>
          </w:p>
        </w:tc>
        <w:tc>
          <w:tcPr>
            <w:tcW w:type="dxa" w:w="1134"/>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shd w:fill="EEF3F9"/>
          </w:tcPr>
          <w:p>
            <w:pPr>
              <w:spacing w:after="0" w:line="252" w:lineRule="auto"/>
              <w:jc w:val="center"/>
            </w:pPr>
            <w:r>
              <w:rPr>
                <w:rFonts w:ascii="Noto Sans CJK SC" w:hAnsi="Noto Sans CJK SC" w:eastAsia="Noto Sans CJK SC"/>
                <w:b/>
                <w:color w:val="1F4E79"/>
                <w:sz w:val="19"/>
              </w:rPr>
            </w:r>
            <w:r>
              <w:rPr>
                <w:rFonts w:ascii="Noto Sans CJK SC" w:hAnsi="Noto Sans CJK SC" w:eastAsia="Noto Sans CJK SC"/>
                <w:b/>
                <w:color w:val="1F4E79"/>
                <w:sz w:val="19"/>
              </w:rPr>
              <w:t>评价等级</w:t>
            </w:r>
          </w:p>
        </w:tc>
        <w:tc>
          <w:tcPr>
            <w:tcW w:type="dxa" w:w="3061"/>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shd w:fill="EEF3F9"/>
          </w:tcPr>
          <w:p>
            <w:pPr>
              <w:spacing w:after="0" w:line="252" w:lineRule="auto"/>
              <w:jc w:val="center"/>
            </w:pPr>
            <w:r>
              <w:rPr>
                <w:rFonts w:ascii="Noto Sans CJK SC" w:hAnsi="Noto Sans CJK SC" w:eastAsia="Noto Sans CJK SC"/>
                <w:b/>
                <w:color w:val="1F4E79"/>
                <w:sz w:val="19"/>
              </w:rPr>
            </w:r>
            <w:r>
              <w:rPr>
                <w:rFonts w:ascii="Noto Sans CJK SC" w:hAnsi="Noto Sans CJK SC" w:eastAsia="Noto Sans CJK SC"/>
                <w:b/>
                <w:color w:val="1F4E79"/>
                <w:sz w:val="19"/>
              </w:rPr>
              <w:t>HR 评价依据</w:t>
            </w:r>
          </w:p>
        </w:tc>
        <w:tc>
          <w:tcPr>
            <w:tcW w:type="dxa" w:w="2835"/>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shd w:fill="EEF3F9"/>
          </w:tcPr>
          <w:p>
            <w:pPr>
              <w:spacing w:after="0" w:line="252" w:lineRule="auto"/>
              <w:jc w:val="center"/>
            </w:pPr>
            <w:r>
              <w:rPr>
                <w:rFonts w:ascii="Noto Sans CJK SC" w:hAnsi="Noto Sans CJK SC" w:eastAsia="Noto Sans CJK SC"/>
                <w:b/>
                <w:color w:val="1F4E79"/>
                <w:sz w:val="19"/>
              </w:rPr>
            </w:r>
            <w:r>
              <w:rPr>
                <w:rFonts w:ascii="Noto Sans CJK SC" w:hAnsi="Noto Sans CJK SC" w:eastAsia="Noto Sans CJK SC"/>
                <w:b/>
                <w:color w:val="1F4E79"/>
                <w:sz w:val="19"/>
              </w:rPr>
              <w:t>后续验证建议</w:t>
            </w:r>
          </w:p>
        </w:tc>
      </w:tr>
      <w:tr>
        <w:tc>
          <w:tcPr>
            <w:tcW w:type="dxa" w:w="1587"/>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岗位匹配度</w:t>
            </w:r>
          </w:p>
        </w:tc>
        <w:tc>
          <w:tcPr>
            <w:tcW w:type="dxa" w:w="794"/>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jc w:val="center"/>
            </w:pPr>
            <w:r>
              <w:rPr>
                <w:rFonts w:ascii="Noto Sans CJK SC" w:hAnsi="Noto Sans CJK SC" w:eastAsia="Noto Sans CJK SC"/>
                <w:b w:val="0"/>
                <w:color w:val="222222"/>
                <w:sz w:val="19"/>
              </w:rPr>
            </w:r>
            <w:r>
              <w:rPr>
                <w:rFonts w:ascii="Noto Sans CJK SC" w:hAnsi="Noto Sans CJK SC" w:eastAsia="Noto Sans CJK SC"/>
                <w:b w:val="0"/>
                <w:color w:val="222222"/>
                <w:sz w:val="19"/>
              </w:rPr>
              <w:t>4/5</w:t>
            </w:r>
          </w:p>
        </w:tc>
        <w:tc>
          <w:tcPr>
            <w:tcW w:type="dxa" w:w="1134"/>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jc w:val="center"/>
            </w:pPr>
            <w:r>
              <w:rPr>
                <w:rFonts w:ascii="Noto Sans CJK SC" w:hAnsi="Noto Sans CJK SC" w:eastAsia="Noto Sans CJK SC"/>
                <w:b w:val="0"/>
                <w:color w:val="222222"/>
                <w:sz w:val="19"/>
              </w:rPr>
            </w:r>
            <w:r>
              <w:rPr>
                <w:rFonts w:ascii="Noto Sans CJK SC" w:hAnsi="Noto Sans CJK SC" w:eastAsia="Noto Sans CJK SC"/>
                <w:b w:val="0"/>
                <w:color w:val="222222"/>
                <w:sz w:val="19"/>
              </w:rPr>
              <w:t>较好</w:t>
            </w:r>
          </w:p>
        </w:tc>
        <w:tc>
          <w:tcPr>
            <w:tcW w:type="dxa" w:w="3061"/>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经历覆盖用户反馈、文档整理、上线跟进等工作，与岗位基础要求匹配。</w:t>
            </w:r>
          </w:p>
        </w:tc>
        <w:tc>
          <w:tcPr>
            <w:tcW w:type="dxa" w:w="2835"/>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业务复面关注其对实际业务流程的理解深度。</w:t>
            </w:r>
          </w:p>
        </w:tc>
      </w:tr>
      <w:tr>
        <w:tc>
          <w:tcPr>
            <w:tcW w:type="dxa" w:w="1587"/>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沟通表达</w:t>
            </w:r>
          </w:p>
        </w:tc>
        <w:tc>
          <w:tcPr>
            <w:tcW w:type="dxa" w:w="794"/>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jc w:val="center"/>
            </w:pPr>
            <w:r>
              <w:rPr>
                <w:rFonts w:ascii="Noto Sans CJK SC" w:hAnsi="Noto Sans CJK SC" w:eastAsia="Noto Sans CJK SC"/>
                <w:b w:val="0"/>
                <w:color w:val="222222"/>
                <w:sz w:val="19"/>
              </w:rPr>
            </w:r>
            <w:r>
              <w:rPr>
                <w:rFonts w:ascii="Noto Sans CJK SC" w:hAnsi="Noto Sans CJK SC" w:eastAsia="Noto Sans CJK SC"/>
                <w:b w:val="0"/>
                <w:color w:val="222222"/>
                <w:sz w:val="19"/>
              </w:rPr>
              <w:t>4/5</w:t>
            </w:r>
          </w:p>
        </w:tc>
        <w:tc>
          <w:tcPr>
            <w:tcW w:type="dxa" w:w="1134"/>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jc w:val="center"/>
            </w:pPr>
            <w:r>
              <w:rPr>
                <w:rFonts w:ascii="Noto Sans CJK SC" w:hAnsi="Noto Sans CJK SC" w:eastAsia="Noto Sans CJK SC"/>
                <w:b w:val="0"/>
                <w:color w:val="222222"/>
                <w:sz w:val="19"/>
              </w:rPr>
            </w:r>
            <w:r>
              <w:rPr>
                <w:rFonts w:ascii="Noto Sans CJK SC" w:hAnsi="Noto Sans CJK SC" w:eastAsia="Noto Sans CJK SC"/>
                <w:b w:val="0"/>
                <w:color w:val="222222"/>
                <w:sz w:val="19"/>
              </w:rPr>
              <w:t>较好</w:t>
            </w:r>
          </w:p>
        </w:tc>
        <w:tc>
          <w:tcPr>
            <w:tcW w:type="dxa" w:w="3061"/>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表达结构清晰，能够按背景、行动、结果进行说明。</w:t>
            </w:r>
          </w:p>
        </w:tc>
        <w:tc>
          <w:tcPr>
            <w:tcW w:type="dxa" w:w="2835"/>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可通过案例追问检验临场沟通和复杂事项推进能力。</w:t>
            </w:r>
          </w:p>
        </w:tc>
      </w:tr>
      <w:tr>
        <w:tc>
          <w:tcPr>
            <w:tcW w:type="dxa" w:w="1587"/>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执行闭环</w:t>
            </w:r>
          </w:p>
        </w:tc>
        <w:tc>
          <w:tcPr>
            <w:tcW w:type="dxa" w:w="794"/>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jc w:val="center"/>
            </w:pPr>
            <w:r>
              <w:rPr>
                <w:rFonts w:ascii="Noto Sans CJK SC" w:hAnsi="Noto Sans CJK SC" w:eastAsia="Noto Sans CJK SC"/>
                <w:b w:val="0"/>
                <w:color w:val="222222"/>
                <w:sz w:val="19"/>
              </w:rPr>
            </w:r>
            <w:r>
              <w:rPr>
                <w:rFonts w:ascii="Noto Sans CJK SC" w:hAnsi="Noto Sans CJK SC" w:eastAsia="Noto Sans CJK SC"/>
                <w:b w:val="0"/>
                <w:color w:val="222222"/>
                <w:sz w:val="19"/>
              </w:rPr>
              <w:t>4/5</w:t>
            </w:r>
          </w:p>
        </w:tc>
        <w:tc>
          <w:tcPr>
            <w:tcW w:type="dxa" w:w="1134"/>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jc w:val="center"/>
            </w:pPr>
            <w:r>
              <w:rPr>
                <w:rFonts w:ascii="Noto Sans CJK SC" w:hAnsi="Noto Sans CJK SC" w:eastAsia="Noto Sans CJK SC"/>
                <w:b w:val="0"/>
                <w:color w:val="222222"/>
                <w:sz w:val="19"/>
              </w:rPr>
            </w:r>
            <w:r>
              <w:rPr>
                <w:rFonts w:ascii="Noto Sans CJK SC" w:hAnsi="Noto Sans CJK SC" w:eastAsia="Noto Sans CJK SC"/>
                <w:b w:val="0"/>
                <w:color w:val="222222"/>
                <w:sz w:val="19"/>
              </w:rPr>
              <w:t>较好</w:t>
            </w:r>
          </w:p>
        </w:tc>
        <w:tc>
          <w:tcPr>
            <w:tcW w:type="dxa" w:w="3061"/>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具备任务拆解、清单跟进、节点同步意识。</w:t>
            </w:r>
          </w:p>
        </w:tc>
        <w:tc>
          <w:tcPr>
            <w:tcW w:type="dxa" w:w="2835"/>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追问其在延期、返工、资源不足场景下的处理方式。</w:t>
            </w:r>
          </w:p>
        </w:tc>
      </w:tr>
      <w:tr>
        <w:tc>
          <w:tcPr>
            <w:tcW w:type="dxa" w:w="1587"/>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学习能力</w:t>
            </w:r>
          </w:p>
        </w:tc>
        <w:tc>
          <w:tcPr>
            <w:tcW w:type="dxa" w:w="794"/>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jc w:val="center"/>
            </w:pPr>
            <w:r>
              <w:rPr>
                <w:rFonts w:ascii="Noto Sans CJK SC" w:hAnsi="Noto Sans CJK SC" w:eastAsia="Noto Sans CJK SC"/>
                <w:b w:val="0"/>
                <w:color w:val="222222"/>
                <w:sz w:val="19"/>
              </w:rPr>
            </w:r>
            <w:r>
              <w:rPr>
                <w:rFonts w:ascii="Noto Sans CJK SC" w:hAnsi="Noto Sans CJK SC" w:eastAsia="Noto Sans CJK SC"/>
                <w:b w:val="0"/>
                <w:color w:val="222222"/>
                <w:sz w:val="19"/>
              </w:rPr>
              <w:t>3.5/5</w:t>
            </w:r>
          </w:p>
        </w:tc>
        <w:tc>
          <w:tcPr>
            <w:tcW w:type="dxa" w:w="1134"/>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jc w:val="center"/>
            </w:pPr>
            <w:r>
              <w:rPr>
                <w:rFonts w:ascii="Noto Sans CJK SC" w:hAnsi="Noto Sans CJK SC" w:eastAsia="Noto Sans CJK SC"/>
                <w:b w:val="0"/>
                <w:color w:val="222222"/>
                <w:sz w:val="19"/>
              </w:rPr>
            </w:r>
            <w:r>
              <w:rPr>
                <w:rFonts w:ascii="Noto Sans CJK SC" w:hAnsi="Noto Sans CJK SC" w:eastAsia="Noto Sans CJK SC"/>
                <w:b w:val="0"/>
                <w:color w:val="222222"/>
                <w:sz w:val="19"/>
              </w:rPr>
              <w:t>中上</w:t>
            </w:r>
          </w:p>
        </w:tc>
        <w:tc>
          <w:tcPr>
            <w:tcW w:type="dxa" w:w="3061"/>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对新行业有兴趣，但目前行业知识储备有限。</w:t>
            </w:r>
          </w:p>
        </w:tc>
        <w:tc>
          <w:tcPr>
            <w:tcW w:type="dxa" w:w="2835"/>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安排业务场景题，观察其信息提取与快速建模能力。</w:t>
            </w:r>
          </w:p>
        </w:tc>
      </w:tr>
      <w:tr>
        <w:tc>
          <w:tcPr>
            <w:tcW w:type="dxa" w:w="1587"/>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稳定性</w:t>
            </w:r>
          </w:p>
        </w:tc>
        <w:tc>
          <w:tcPr>
            <w:tcW w:type="dxa" w:w="794"/>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jc w:val="center"/>
            </w:pPr>
            <w:r>
              <w:rPr>
                <w:rFonts w:ascii="Noto Sans CJK SC" w:hAnsi="Noto Sans CJK SC" w:eastAsia="Noto Sans CJK SC"/>
                <w:b w:val="0"/>
                <w:color w:val="222222"/>
                <w:sz w:val="19"/>
              </w:rPr>
            </w:r>
            <w:r>
              <w:rPr>
                <w:rFonts w:ascii="Noto Sans CJK SC" w:hAnsi="Noto Sans CJK SC" w:eastAsia="Noto Sans CJK SC"/>
                <w:b w:val="0"/>
                <w:color w:val="222222"/>
                <w:sz w:val="19"/>
              </w:rPr>
              <w:t>4/5</w:t>
            </w:r>
          </w:p>
        </w:tc>
        <w:tc>
          <w:tcPr>
            <w:tcW w:type="dxa" w:w="1134"/>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jc w:val="center"/>
            </w:pPr>
            <w:r>
              <w:rPr>
                <w:rFonts w:ascii="Noto Sans CJK SC" w:hAnsi="Noto Sans CJK SC" w:eastAsia="Noto Sans CJK SC"/>
                <w:b w:val="0"/>
                <w:color w:val="222222"/>
                <w:sz w:val="19"/>
              </w:rPr>
            </w:r>
            <w:r>
              <w:rPr>
                <w:rFonts w:ascii="Noto Sans CJK SC" w:hAnsi="Noto Sans CJK SC" w:eastAsia="Noto Sans CJK SC"/>
                <w:b w:val="0"/>
                <w:color w:val="222222"/>
                <w:sz w:val="19"/>
              </w:rPr>
              <w:t>较好</w:t>
            </w:r>
          </w:p>
        </w:tc>
        <w:tc>
          <w:tcPr>
            <w:tcW w:type="dxa" w:w="3061"/>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离职原因合理，职业规划与岗位方向基本一致。</w:t>
            </w:r>
          </w:p>
        </w:tc>
        <w:tc>
          <w:tcPr>
            <w:tcW w:type="dxa" w:w="2835"/>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沟通岗位真实工作强度和成长节奏，确认预期一致。</w:t>
            </w:r>
          </w:p>
        </w:tc>
      </w:tr>
      <w:tr>
        <w:tc>
          <w:tcPr>
            <w:tcW w:type="dxa" w:w="1587"/>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风险项</w:t>
            </w:r>
          </w:p>
        </w:tc>
        <w:tc>
          <w:tcPr>
            <w:tcW w:type="dxa" w:w="794"/>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jc w:val="center"/>
            </w:pPr>
            <w:r>
              <w:rPr>
                <w:rFonts w:ascii="Noto Sans CJK SC" w:hAnsi="Noto Sans CJK SC" w:eastAsia="Noto Sans CJK SC"/>
                <w:b w:val="0"/>
                <w:color w:val="222222"/>
                <w:sz w:val="19"/>
              </w:rPr>
            </w:r>
            <w:r>
              <w:rPr>
                <w:rFonts w:ascii="Noto Sans CJK SC" w:hAnsi="Noto Sans CJK SC" w:eastAsia="Noto Sans CJK SC"/>
                <w:b w:val="0"/>
                <w:color w:val="222222"/>
                <w:sz w:val="19"/>
              </w:rPr>
              <w:t>3/5</w:t>
            </w:r>
          </w:p>
        </w:tc>
        <w:tc>
          <w:tcPr>
            <w:tcW w:type="dxa" w:w="1134"/>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jc w:val="center"/>
            </w:pPr>
            <w:r>
              <w:rPr>
                <w:rFonts w:ascii="Noto Sans CJK SC" w:hAnsi="Noto Sans CJK SC" w:eastAsia="Noto Sans CJK SC"/>
                <w:b w:val="0"/>
                <w:color w:val="222222"/>
                <w:sz w:val="19"/>
              </w:rPr>
            </w:r>
            <w:r>
              <w:rPr>
                <w:rFonts w:ascii="Noto Sans CJK SC" w:hAnsi="Noto Sans CJK SC" w:eastAsia="Noto Sans CJK SC"/>
                <w:b w:val="0"/>
                <w:color w:val="222222"/>
                <w:sz w:val="19"/>
              </w:rPr>
              <w:t>需关注</w:t>
            </w:r>
          </w:p>
        </w:tc>
        <w:tc>
          <w:tcPr>
            <w:tcW w:type="dxa" w:w="3061"/>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对工程咨询数字化场景理解仍偏泛化，可能需要较长适应期。</w:t>
            </w:r>
          </w:p>
        </w:tc>
        <w:tc>
          <w:tcPr>
            <w:tcW w:type="dxa" w:w="2835"/>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建议业务面重点考察行业敏感度和问题拆解能力。</w:t>
            </w:r>
          </w:p>
        </w:tc>
      </w:tr>
    </w:tbl>
    <w:p>
      <w:pPr>
        <w:pStyle w:val="Heading1"/>
        <w:spacing w:before="200" w:after="120"/>
      </w:pPr>
      <w:r>
        <w:rPr>
          <w:rFonts w:ascii="Noto Sans CJK SC" w:hAnsi="Noto Sans CJK SC" w:eastAsia="Noto Sans CJK SC"/>
          <w:b/>
          <w:color w:val="1F4E79"/>
          <w:sz w:val="28"/>
        </w:rPr>
        <w:t>五、候选人优势与关注点</w:t>
      </w:r>
    </w:p>
    <w:tbl>
      <w:tblPr>
        <w:tblW w:type="auto" w:w="0"/>
        <w:jc w:val="center"/>
        <w:tblLayout w:type="fixed"/>
        <w:tblLook w:firstColumn="1" w:firstRow="1" w:lastColumn="0" w:lastRow="0" w:noHBand="0" w:noVBand="1" w:val="04A0"/>
      </w:tblPr>
      <w:tblGrid>
        <w:gridCol w:w="5156"/>
        <w:gridCol w:w="5156"/>
      </w:tblGrid>
      <w:tr>
        <w:tc>
          <w:tcPr>
            <w:tcW w:type="dxa" w:w="4535"/>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shd w:fill="EEF3F9"/>
          </w:tcPr>
          <w:p>
            <w:pPr>
              <w:spacing w:after="0" w:line="252" w:lineRule="auto"/>
              <w:jc w:val="center"/>
            </w:pPr>
            <w:r>
              <w:rPr>
                <w:rFonts w:ascii="Noto Sans CJK SC" w:hAnsi="Noto Sans CJK SC" w:eastAsia="Noto Sans CJK SC"/>
                <w:b/>
                <w:color w:val="1F4E79"/>
                <w:sz w:val="19"/>
              </w:rPr>
            </w:r>
            <w:r>
              <w:rPr>
                <w:rFonts w:ascii="Noto Sans CJK SC" w:hAnsi="Noto Sans CJK SC" w:eastAsia="Noto Sans CJK SC"/>
                <w:b/>
                <w:color w:val="1F4E79"/>
                <w:sz w:val="19"/>
              </w:rPr>
              <w:t>主要优势</w:t>
            </w:r>
          </w:p>
        </w:tc>
        <w:tc>
          <w:tcPr>
            <w:tcW w:type="dxa" w:w="4535"/>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shd w:fill="EEF3F9"/>
          </w:tcPr>
          <w:p>
            <w:pPr>
              <w:spacing w:after="0" w:line="252" w:lineRule="auto"/>
              <w:jc w:val="center"/>
            </w:pPr>
            <w:r>
              <w:rPr>
                <w:rFonts w:ascii="Noto Sans CJK SC" w:hAnsi="Noto Sans CJK SC" w:eastAsia="Noto Sans CJK SC"/>
                <w:b/>
                <w:color w:val="1F4E79"/>
                <w:sz w:val="19"/>
              </w:rPr>
            </w:r>
            <w:r>
              <w:rPr>
                <w:rFonts w:ascii="Noto Sans CJK SC" w:hAnsi="Noto Sans CJK SC" w:eastAsia="Noto Sans CJK SC"/>
                <w:b/>
                <w:color w:val="1F4E79"/>
                <w:sz w:val="19"/>
              </w:rPr>
              <w:t>需关注事项</w:t>
            </w:r>
          </w:p>
        </w:tc>
      </w:tr>
      <w:tr>
        <w:tc>
          <w:tcPr>
            <w:tcW w:type="dxa" w:w="4535"/>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1. 表达清晰，能够较完整地复盘过往项目经历。</w:t>
            </w:r>
            <w:r>
              <w:rPr>
                <w:rFonts w:ascii="Noto Sans CJK SC" w:hAnsi="Noto Sans CJK SC" w:eastAsia="Noto Sans CJK SC"/>
                <w:b w:val="0"/>
                <w:color w:val="222222"/>
                <w:sz w:val="19"/>
              </w:rPr>
              <w:br/>
            </w:r>
            <w:r>
              <w:rPr>
                <w:rFonts w:ascii="Noto Sans CJK SC" w:hAnsi="Noto Sans CJK SC" w:eastAsia="Noto Sans CJK SC"/>
                <w:b w:val="0"/>
                <w:color w:val="222222"/>
                <w:sz w:val="19"/>
              </w:rPr>
              <w:t>2. 有产品运营基础，熟悉用户反馈、文档整理和上线跟进。</w:t>
            </w:r>
            <w:r>
              <w:rPr>
                <w:rFonts w:ascii="Noto Sans CJK SC" w:hAnsi="Noto Sans CJK SC" w:eastAsia="Noto Sans CJK SC"/>
                <w:b w:val="0"/>
                <w:color w:val="222222"/>
                <w:sz w:val="19"/>
              </w:rPr>
              <w:br/>
            </w:r>
            <w:r>
              <w:rPr>
                <w:rFonts w:ascii="Noto Sans CJK SC" w:hAnsi="Noto Sans CJK SC" w:eastAsia="Noto Sans CJK SC"/>
                <w:b w:val="0"/>
                <w:color w:val="222222"/>
                <w:sz w:val="19"/>
              </w:rPr>
              <w:t>3. 协作意识较好，愿意用清单和节点管理推进事项。</w:t>
            </w:r>
            <w:r>
              <w:rPr>
                <w:rFonts w:ascii="Noto Sans CJK SC" w:hAnsi="Noto Sans CJK SC" w:eastAsia="Noto Sans CJK SC"/>
                <w:b w:val="0"/>
                <w:color w:val="222222"/>
                <w:sz w:val="19"/>
              </w:rPr>
              <w:br/>
            </w:r>
            <w:r>
              <w:rPr>
                <w:rFonts w:ascii="Noto Sans CJK SC" w:hAnsi="Noto Sans CJK SC" w:eastAsia="Noto Sans CJK SC"/>
                <w:b w:val="0"/>
                <w:color w:val="222222"/>
                <w:sz w:val="19"/>
              </w:rPr>
              <w:t>4. 薪资和到岗周期预期相对合理，短期入职可行性较高。</w:t>
            </w:r>
          </w:p>
        </w:tc>
        <w:tc>
          <w:tcPr>
            <w:tcW w:type="dxa" w:w="4535"/>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1. 行业理解仍较浅，需要确认其是否能适应工程咨询类业务语境。</w:t>
            </w:r>
            <w:r>
              <w:rPr>
                <w:rFonts w:ascii="Noto Sans CJK SC" w:hAnsi="Noto Sans CJK SC" w:eastAsia="Noto Sans CJK SC"/>
                <w:b w:val="0"/>
                <w:color w:val="222222"/>
                <w:sz w:val="19"/>
              </w:rPr>
              <w:br/>
            </w:r>
            <w:r>
              <w:rPr>
                <w:rFonts w:ascii="Noto Sans CJK SC" w:hAnsi="Noto Sans CJK SC" w:eastAsia="Noto Sans CJK SC"/>
                <w:b w:val="0"/>
                <w:color w:val="222222"/>
                <w:sz w:val="19"/>
              </w:rPr>
              <w:t>2. 数据分析能力以基础指标为主，复杂分析经验不足。</w:t>
            </w:r>
            <w:r>
              <w:rPr>
                <w:rFonts w:ascii="Noto Sans CJK SC" w:hAnsi="Noto Sans CJK SC" w:eastAsia="Noto Sans CJK SC"/>
                <w:b w:val="0"/>
                <w:color w:val="222222"/>
                <w:sz w:val="19"/>
              </w:rPr>
              <w:br/>
            </w:r>
            <w:r>
              <w:rPr>
                <w:rFonts w:ascii="Noto Sans CJK SC" w:hAnsi="Noto Sans CJK SC" w:eastAsia="Noto Sans CJK SC"/>
                <w:b w:val="0"/>
                <w:color w:val="222222"/>
                <w:sz w:val="19"/>
              </w:rPr>
              <w:t>3. 对岗位成长路径有期待，需在录用前充分同步工作边界。</w:t>
            </w:r>
            <w:r>
              <w:rPr>
                <w:rFonts w:ascii="Noto Sans CJK SC" w:hAnsi="Noto Sans CJK SC" w:eastAsia="Noto Sans CJK SC"/>
                <w:b w:val="0"/>
                <w:color w:val="222222"/>
                <w:sz w:val="19"/>
              </w:rPr>
              <w:br/>
            </w:r>
            <w:r>
              <w:rPr>
                <w:rFonts w:ascii="Noto Sans CJK SC" w:hAnsi="Noto Sans CJK SC" w:eastAsia="Noto Sans CJK SC"/>
                <w:b w:val="0"/>
                <w:color w:val="222222"/>
                <w:sz w:val="19"/>
              </w:rPr>
              <w:t>4. 若岗位前期偏事务执行，需提前沟通，降低心理落差。</w:t>
            </w:r>
          </w:p>
        </w:tc>
      </w:tr>
    </w:tbl>
    <w:p>
      <w:pPr>
        <w:pStyle w:val="Heading1"/>
        <w:spacing w:before="200" w:after="120"/>
      </w:pPr>
      <w:r>
        <w:rPr>
          <w:rFonts w:ascii="Noto Sans CJK SC" w:hAnsi="Noto Sans CJK SC" w:eastAsia="Noto Sans CJK SC"/>
          <w:b/>
          <w:color w:val="1F4E79"/>
          <w:sz w:val="28"/>
        </w:rPr>
        <w:t>六、录用建议与后续安排</w:t>
      </w:r>
    </w:p>
    <w:p>
      <w:pPr>
        <w:pStyle w:val="ListBullet"/>
        <w:spacing w:after="40" w:line="276" w:lineRule="auto"/>
        <w:ind w:left="312"/>
      </w:pPr>
      <w:r>
        <w:rPr>
          <w:rFonts w:ascii="Noto Sans CJK SC" w:hAnsi="Noto Sans CJK SC" w:eastAsia="Noto Sans CJK SC"/>
          <w:color w:val="232323"/>
          <w:sz w:val="19"/>
        </w:rPr>
        <w:t>建议进入下一轮业务复面，由用人部门重点考察业务理解、场景拆解、数据分析和跨部门推进能力。</w:t>
      </w:r>
    </w:p>
    <w:p>
      <w:pPr>
        <w:pStyle w:val="ListBullet"/>
        <w:spacing w:after="40" w:line="276" w:lineRule="auto"/>
        <w:ind w:left="312"/>
      </w:pPr>
      <w:r>
        <w:rPr>
          <w:rFonts w:ascii="Noto Sans CJK SC" w:hAnsi="Noto Sans CJK SC" w:eastAsia="Noto Sans CJK SC"/>
          <w:color w:val="232323"/>
          <w:sz w:val="19"/>
        </w:rPr>
        <w:t>复面建议设置 1 个真实业务场景题，例如“如何整理一次客户反馈并推动产品优化闭环”。</w:t>
      </w:r>
    </w:p>
    <w:p>
      <w:pPr>
        <w:pStyle w:val="ListBullet"/>
        <w:spacing w:after="40" w:line="276" w:lineRule="auto"/>
        <w:ind w:left="312"/>
      </w:pPr>
      <w:r>
        <w:rPr>
          <w:rFonts w:ascii="Noto Sans CJK SC" w:hAnsi="Noto Sans CJK SC" w:eastAsia="Noto Sans CJK SC"/>
          <w:color w:val="232323"/>
          <w:sz w:val="19"/>
        </w:rPr>
        <w:t>如业务复面通过，可进入薪资沟通与背景核验流程；如业务复面反馈其行业理解不足，可作为备选候选人保留。</w:t>
      </w:r>
    </w:p>
    <w:p>
      <w:pPr>
        <w:pStyle w:val="ListBullet"/>
        <w:spacing w:after="40" w:line="276" w:lineRule="auto"/>
        <w:ind w:left="312"/>
      </w:pPr>
      <w:r>
        <w:rPr>
          <w:rFonts w:ascii="Noto Sans CJK SC" w:hAnsi="Noto Sans CJK SC" w:eastAsia="Noto Sans CJK SC"/>
          <w:color w:val="232323"/>
          <w:sz w:val="19"/>
        </w:rPr>
        <w:t>录用前需明确岗位前 3 个月主要工作：产品资料整理、会议记录、用户反馈归档、上线跟进及运营数据初步分析。</w:t>
      </w:r>
    </w:p>
    <w:p>
      <w:pPr>
        <w:pStyle w:val="Heading1"/>
        <w:spacing w:before="200" w:after="120"/>
      </w:pPr>
      <w:r>
        <w:rPr>
          <w:rFonts w:ascii="Noto Sans CJK SC" w:hAnsi="Noto Sans CJK SC" w:eastAsia="Noto Sans CJK SC"/>
          <w:b/>
          <w:color w:val="1F4E79"/>
          <w:sz w:val="28"/>
        </w:rPr>
        <w:t>七、候选人反馈口径（HR 对外沟通示例）</w:t>
      </w:r>
    </w:p>
    <w:p>
      <w:pPr>
        <w:spacing w:line="276" w:lineRule="auto" w:after="120"/>
      </w:pPr>
      <w:r>
        <w:rPr>
          <w:rFonts w:ascii="Noto Sans CJK SC" w:hAnsi="Noto Sans CJK SC" w:eastAsia="Noto Sans CJK SC"/>
          <w:sz w:val="19"/>
        </w:rPr>
        <w:t>感谢您参加本次面试。我们认为您在沟通表达、任务推进和产品运营基础方面表现较好，过往经历与岗位要求有一定匹配度。下一步我们将安排业务复面，重点围绕具体业务场景、产品理解和数据分析能力进行进一步沟通。复面安排确认后，我们会第一时间与您同步。</w:t>
      </w:r>
    </w:p>
    <w:p>
      <w:pPr>
        <w:pStyle w:val="Heading1"/>
        <w:spacing w:before="200" w:after="120"/>
      </w:pPr>
      <w:r>
        <w:rPr>
          <w:rFonts w:ascii="Noto Sans CJK SC" w:hAnsi="Noto Sans CJK SC" w:eastAsia="Noto Sans CJK SC"/>
          <w:b/>
          <w:color w:val="1F4E79"/>
          <w:sz w:val="28"/>
        </w:rPr>
        <w:t>八、空白模板区（可复制使用）</w:t>
      </w:r>
    </w:p>
    <w:tbl>
      <w:tblPr>
        <w:tblW w:type="auto" w:w="0"/>
        <w:jc w:val="center"/>
        <w:tblLayout w:type="fixed"/>
        <w:tblLook w:firstColumn="1" w:firstRow="1" w:lastColumn="0" w:lastRow="0" w:noHBand="0" w:noVBand="1" w:val="04A0"/>
      </w:tblPr>
      <w:tblGrid>
        <w:gridCol w:w="2578"/>
        <w:gridCol w:w="2578"/>
        <w:gridCol w:w="2578"/>
        <w:gridCol w:w="2578"/>
      </w:tblGrid>
      <w:tr>
        <w:tc>
          <w:tcPr>
            <w:tcW w:type="dxa" w:w="1701"/>
            <w:vAlign w:val="center"/>
            <w:tcMar>
              <w:top w:w="80" w:type="dxa"/>
              <w:start w:w="90" w:type="dxa"/>
              <w:bottom w:w="80" w:type="dxa"/>
              <w:end w:w="90" w:type="dxa"/>
            </w:tcMar>
            <w:shd w:fill="F4F7FB"/>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候选人</w:t>
            </w:r>
          </w:p>
        </w:tc>
        <w:tc>
          <w:tcPr>
            <w:tcW w:type="dxa" w:w="2381"/>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r>
          </w:p>
        </w:tc>
        <w:tc>
          <w:tcPr>
            <w:tcW w:type="dxa" w:w="1701"/>
            <w:vAlign w:val="center"/>
            <w:tcMar>
              <w:top w:w="80" w:type="dxa"/>
              <w:start w:w="90" w:type="dxa"/>
              <w:bottom w:w="80" w:type="dxa"/>
              <w:end w:w="90" w:type="dxa"/>
            </w:tcMar>
            <w:shd w:fill="F4F7FB"/>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应聘岗位</w:t>
            </w:r>
          </w:p>
        </w:tc>
        <w:tc>
          <w:tcPr>
            <w:tcW w:type="dxa" w:w="3061"/>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r>
          </w:p>
        </w:tc>
      </w:tr>
      <w:tr>
        <w:tc>
          <w:tcPr>
            <w:tcW w:type="dxa" w:w="1701"/>
            <w:vAlign w:val="center"/>
            <w:tcMar>
              <w:top w:w="80" w:type="dxa"/>
              <w:start w:w="90" w:type="dxa"/>
              <w:bottom w:w="80" w:type="dxa"/>
              <w:end w:w="90" w:type="dxa"/>
            </w:tcMar>
            <w:shd w:fill="F4F7FB"/>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面试轮次</w:t>
            </w:r>
          </w:p>
        </w:tc>
        <w:tc>
          <w:tcPr>
            <w:tcW w:type="dxa" w:w="2381"/>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r>
          </w:p>
        </w:tc>
        <w:tc>
          <w:tcPr>
            <w:tcW w:type="dxa" w:w="1701"/>
            <w:vAlign w:val="center"/>
            <w:tcMar>
              <w:top w:w="80" w:type="dxa"/>
              <w:start w:w="90" w:type="dxa"/>
              <w:bottom w:w="80" w:type="dxa"/>
              <w:end w:w="90" w:type="dxa"/>
            </w:tcMar>
            <w:shd w:fill="F4F7FB"/>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面试方式</w:t>
            </w:r>
          </w:p>
        </w:tc>
        <w:tc>
          <w:tcPr>
            <w:tcW w:type="dxa" w:w="3061"/>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r>
          </w:p>
        </w:tc>
      </w:tr>
      <w:tr>
        <w:tc>
          <w:tcPr>
            <w:tcW w:type="dxa" w:w="1701"/>
            <w:vAlign w:val="center"/>
            <w:tcMar>
              <w:top w:w="80" w:type="dxa"/>
              <w:start w:w="90" w:type="dxa"/>
              <w:bottom w:w="80" w:type="dxa"/>
              <w:end w:w="90" w:type="dxa"/>
            </w:tcMar>
            <w:shd w:fill="F4F7FB"/>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面试时间</w:t>
            </w:r>
          </w:p>
        </w:tc>
        <w:tc>
          <w:tcPr>
            <w:tcW w:type="dxa" w:w="2381"/>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r>
          </w:p>
        </w:tc>
        <w:tc>
          <w:tcPr>
            <w:tcW w:type="dxa" w:w="1701"/>
            <w:vAlign w:val="center"/>
            <w:tcMar>
              <w:top w:w="80" w:type="dxa"/>
              <w:start w:w="90" w:type="dxa"/>
              <w:bottom w:w="80" w:type="dxa"/>
              <w:end w:w="90" w:type="dxa"/>
            </w:tcMar>
            <w:shd w:fill="F4F7FB"/>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记录人</w:t>
            </w:r>
          </w:p>
        </w:tc>
        <w:tc>
          <w:tcPr>
            <w:tcW w:type="dxa" w:w="3061"/>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r>
          </w:p>
        </w:tc>
      </w:tr>
      <w:tr>
        <w:tc>
          <w:tcPr>
            <w:tcW w:type="dxa" w:w="1701"/>
            <w:vAlign w:val="center"/>
            <w:tcMar>
              <w:top w:w="80" w:type="dxa"/>
              <w:start w:w="90" w:type="dxa"/>
              <w:bottom w:w="80" w:type="dxa"/>
              <w:end w:w="90" w:type="dxa"/>
            </w:tcMar>
            <w:shd w:fill="F4F7FB"/>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综合评价</w:t>
            </w:r>
          </w:p>
        </w:tc>
        <w:tc>
          <w:tcPr>
            <w:tcW w:type="dxa" w:w="2381"/>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r>
          </w:p>
        </w:tc>
        <w:tc>
          <w:tcPr>
            <w:tcW w:type="dxa" w:w="1701"/>
            <w:vAlign w:val="center"/>
            <w:tcMar>
              <w:top w:w="80" w:type="dxa"/>
              <w:start w:w="90" w:type="dxa"/>
              <w:bottom w:w="80" w:type="dxa"/>
              <w:end w:w="90" w:type="dxa"/>
            </w:tcMar>
            <w:shd w:fill="F4F7FB"/>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建议结果</w:t>
            </w:r>
          </w:p>
        </w:tc>
        <w:tc>
          <w:tcPr>
            <w:tcW w:type="dxa" w:w="3061"/>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r>
          </w:p>
        </w:tc>
      </w:tr>
      <w:tr>
        <w:tc>
          <w:tcPr>
            <w:tcW w:type="dxa" w:w="1701"/>
            <w:vAlign w:val="center"/>
            <w:tcMar>
              <w:top w:w="80" w:type="dxa"/>
              <w:start w:w="90" w:type="dxa"/>
              <w:bottom w:w="80" w:type="dxa"/>
              <w:end w:w="90" w:type="dxa"/>
            </w:tcMar>
            <w:shd w:fill="F4F7FB"/>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主要风险</w:t>
            </w:r>
          </w:p>
        </w:tc>
        <w:tc>
          <w:tcPr>
            <w:tcW w:type="dxa" w:w="2381"/>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r>
          </w:p>
        </w:tc>
        <w:tc>
          <w:tcPr>
            <w:tcW w:type="dxa" w:w="1701"/>
            <w:vAlign w:val="center"/>
            <w:tcMar>
              <w:top w:w="80" w:type="dxa"/>
              <w:start w:w="90" w:type="dxa"/>
              <w:bottom w:w="80" w:type="dxa"/>
              <w:end w:w="90" w:type="dxa"/>
            </w:tcMar>
            <w:shd w:fill="F4F7FB"/>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t>后续安排</w:t>
            </w:r>
          </w:p>
        </w:tc>
        <w:tc>
          <w:tcPr>
            <w:tcW w:type="dxa" w:w="3061"/>
            <w:vAlign w:val="center"/>
            <w:tcMar>
              <w:top w:w="80" w:type="dxa"/>
              <w:start w:w="90" w:type="dxa"/>
              <w:bottom w:w="80" w:type="dxa"/>
              <w:end w:w="90" w:type="dxa"/>
            </w:tcMar>
            <w:tcBorders>
              <w:top w:sz="6" w:val="single" w:color="D9DEE8" w:space="0"/>
              <w:left w:sz="6" w:val="single" w:color="D9DEE8" w:space="0"/>
              <w:bottom w:sz="6" w:val="single" w:color="D9DEE8" w:space="0"/>
              <w:right w:sz="6" w:val="single" w:color="D9DEE8" w:space="0"/>
            </w:tcBorders>
          </w:tcPr>
          <w:p>
            <w:pPr>
              <w:spacing w:after="0" w:line="252" w:lineRule="auto"/>
            </w:pPr>
            <w:r>
              <w:rPr>
                <w:rFonts w:ascii="Noto Sans CJK SC" w:hAnsi="Noto Sans CJK SC" w:eastAsia="Noto Sans CJK SC"/>
                <w:b w:val="0"/>
                <w:color w:val="222222"/>
                <w:sz w:val="19"/>
              </w:rPr>
            </w:r>
            <w:r>
              <w:rPr>
                <w:rFonts w:ascii="Noto Sans CJK SC" w:hAnsi="Noto Sans CJK SC" w:eastAsia="Noto Sans CJK SC"/>
                <w:b w:val="0"/>
                <w:color w:val="222222"/>
                <w:sz w:val="19"/>
              </w:rPr>
            </w:r>
          </w:p>
        </w:tc>
      </w:tr>
    </w:tbl>
    <w:p>
      <w:r>
        <w:rPr>
          <w:rFonts w:ascii="Noto Sans CJK SC" w:hAnsi="Noto Sans CJK SC" w:eastAsia="Noto Sans CJK SC"/>
          <w:color w:val="6E6E6E"/>
          <w:sz w:val="17"/>
        </w:rPr>
        <w:t>填写提示：本表建议由 HR 在面试后 30 分钟内完成初稿，并在业务复面前同步用人部门；涉及薪酬、离职原因、个人敏感信息的内容应仅用于招聘评估，不对外扩散。</w:t>
      </w:r>
    </w:p>
    <w:sectPr w:rsidR="00FC693F" w:rsidRPr="0006063C" w:rsidSect="00034616">
      <w:headerReference w:type="default" r:id="rId9"/>
      <w:footerReference w:type="default" r:id="rId10"/>
      <w:pgSz w:w="12240" w:h="15840"/>
      <w:pgMar w:top="879" w:right="964" w:bottom="765"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787878"/>
        <w:sz w:val="16"/>
      </w:rPr>
      <w:t>Confidential  ｜  仅供招聘决策与复盘使用</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color w:val="737373"/>
        <w:sz w:val="16"/>
      </w:rPr>
      <w:t>HR 面试记录与候选人反馈｜内部评估文件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Noto Sans CJK SC" w:hAnsi="Noto Sans CJK SC" w:eastAsia="Noto Sans CJK S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276" w:lineRule="auto" w:after="60"/>
      <w:ind w:left="720"/>
      <w:contextualSpacing/>
    </w:pPr>
    <w:rPr>
      <w:rFonts w:ascii="Noto Sans CJK SC" w:hAnsi="Noto Sans CJK SC" w:eastAsia="Noto Sans CJK SC"/>
      <w:sz w:val="19"/>
    </w:rPr>
  </w:style>
  <w:style w:type="paragraph" w:styleId="BodyText">
    <w:name w:val="Body Text"/>
    <w:basedOn w:val="Normal"/>
    <w:link w:val="BodyTextChar"/>
    <w:uiPriority w:val="99"/>
    <w:unhideWhenUsed/>
    <w:rsid w:val="00AA1D8D"/>
    <w:pPr>
      <w:spacing w:after="60" w:line="276" w:lineRule="auto"/>
    </w:pPr>
    <w:rPr>
      <w:rFonts w:ascii="Noto Sans CJK SC" w:hAnsi="Noto Sans CJK SC" w:eastAsia="Noto Sans CJK SC"/>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