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29A8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澳洲V2G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&amp;</w:t>
      </w:r>
      <w:r>
        <w:rPr>
          <w:rFonts w:ascii="Arial" w:hAnsi="Arial" w:eastAsia="等线" w:cs="Arial"/>
          <w:b/>
          <w:sz w:val="52"/>
        </w:rPr>
        <w:t>V2H市场深度调研计划</w:t>
      </w:r>
    </w:p>
    <w:p w14:paraId="68A12D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核心目标：</w:t>
      </w:r>
      <w:r>
        <w:rPr>
          <w:rFonts w:ascii="Arial" w:hAnsi="Arial" w:eastAsia="等线" w:cs="Arial"/>
          <w:sz w:val="22"/>
        </w:rPr>
        <w:t xml:space="preserve"> 通过调研澳洲各州电价政策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电价套餐</w:t>
      </w:r>
      <w:r>
        <w:rPr>
          <w:rFonts w:ascii="Arial" w:hAnsi="Arial" w:eastAsia="等线" w:cs="Arial"/>
          <w:sz w:val="22"/>
        </w:rPr>
        <w:t>、居民用电模式及新能源政策，量化评估V2G/V2H技术的居民侧经济收益，明确</w:t>
      </w:r>
      <w:r>
        <w:rPr>
          <w:rFonts w:hint="eastAsia" w:ascii="Arial" w:hAnsi="Arial" w:eastAsia="等线" w:cs="Arial"/>
          <w:sz w:val="22"/>
          <w:lang w:val="en-US" w:eastAsia="zh-CN"/>
        </w:rPr>
        <w:t>澳洲V2G/V2H</w:t>
      </w:r>
      <w:r>
        <w:rPr>
          <w:rFonts w:ascii="Arial" w:hAnsi="Arial" w:eastAsia="等线" w:cs="Arial"/>
          <w:sz w:val="22"/>
        </w:rPr>
        <w:t>商业闭环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从而指导V2G/V2H的</w:t>
      </w:r>
      <w:r>
        <w:rPr>
          <w:rFonts w:ascii="Arial" w:hAnsi="Arial" w:eastAsia="等线" w:cs="Arial"/>
          <w:sz w:val="22"/>
        </w:rPr>
        <w:t>产品定义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并为将来公司在澳洲开着V2G/V2H业务</w:t>
      </w:r>
      <w:bookmarkStart w:id="4" w:name="_GoBack"/>
      <w:bookmarkEnd w:id="4"/>
      <w:r>
        <w:rPr>
          <w:rFonts w:hint="eastAsia" w:ascii="Arial" w:hAnsi="Arial" w:eastAsia="等线" w:cs="Arial"/>
          <w:sz w:val="22"/>
          <w:lang w:val="en-US" w:eastAsia="zh-CN"/>
        </w:rPr>
        <w:t>提供部分基础数据</w:t>
      </w:r>
      <w:r>
        <w:rPr>
          <w:rFonts w:ascii="Arial" w:hAnsi="Arial" w:eastAsia="等线" w:cs="Arial"/>
          <w:sz w:val="22"/>
        </w:rPr>
        <w:t>。</w:t>
      </w:r>
    </w:p>
    <w:p w14:paraId="03623B1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调研时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间：</w:t>
      </w:r>
      <w:r>
        <w:rPr>
          <w:rFonts w:ascii="Arial" w:hAnsi="Arial" w:eastAsia="等线" w:cs="Arial"/>
          <w:sz w:val="22"/>
        </w:rPr>
        <w:t>2026.05.20 - 2026.07.3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阶段1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7815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调研负责人：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事业部负责人</w:t>
      </w:r>
      <w:r>
        <w:rPr>
          <w:rFonts w:ascii="Arial" w:hAnsi="Arial" w:eastAsia="等线" w:cs="Arial"/>
          <w:sz w:val="22"/>
        </w:rPr>
        <w:t>——总体指导与协调</w:t>
      </w:r>
    </w:p>
    <w:p w14:paraId="54598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执行人员：</w:t>
      </w:r>
      <w:r>
        <w:rPr>
          <w:rFonts w:ascii="Arial" w:hAnsi="Arial" w:eastAsia="等线" w:cs="Arial"/>
          <w:sz w:val="22"/>
        </w:rPr>
        <w:t xml:space="preserve"> 陈美霖、曹至函</w:t>
      </w:r>
    </w:p>
    <w:p w14:paraId="7EA67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协同人员：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产品经理(V2G)、</w:t>
      </w:r>
      <w:r>
        <w:rPr>
          <w:rFonts w:ascii="Arial" w:hAnsi="Arial" w:eastAsia="等线" w:cs="Arial"/>
          <w:sz w:val="22"/>
        </w:rPr>
        <w:t>市场经理（澳洲）</w:t>
      </w:r>
    </w:p>
    <w:p w14:paraId="01CC17BC">
      <w:pPr>
        <w:spacing w:before="260" w:after="120" w:line="288" w:lineRule="auto"/>
        <w:ind w:left="0"/>
        <w:jc w:val="left"/>
        <w:outlineLvl w:val="3"/>
      </w:pPr>
      <w:bookmarkStart w:id="0" w:name="heading_1"/>
      <w:r>
        <w:rPr>
          <w:rFonts w:ascii="Arial" w:hAnsi="Arial" w:eastAsia="等线" w:cs="Arial"/>
          <w:b/>
          <w:sz w:val="28"/>
        </w:rPr>
        <w:t>第一阶段：基础数据收集与整理（5月20日 - 6月15日）</w:t>
      </w:r>
      <w:bookmarkEnd w:id="0"/>
    </w:p>
    <w:p w14:paraId="07AC4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核心任务：</w:t>
      </w:r>
      <w:r>
        <w:rPr>
          <w:rFonts w:ascii="Arial" w:hAnsi="Arial" w:eastAsia="等线" w:cs="Arial"/>
          <w:sz w:val="22"/>
        </w:rPr>
        <w:t xml:space="preserve"> 建立澳洲各州电价与居民用电的量化数据库，为经济性分析奠定基础。重点纳入“中午免费三小时”等新政策。</w:t>
      </w:r>
    </w:p>
    <w:tbl>
      <w:tblPr>
        <w:tblW w:w="10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2572"/>
        <w:gridCol w:w="2870"/>
        <w:gridCol w:w="2135"/>
        <w:gridCol w:w="1528"/>
      </w:tblGrid>
      <w:tr w14:paraId="0760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shd w:val="clear"/>
            <w:vAlign w:val="center"/>
          </w:tcPr>
          <w:p w14:paraId="4E52A16A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shd w:val="clear"/>
            <w:vAlign w:val="center"/>
          </w:tcPr>
          <w:p w14:paraId="1170904C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调研任务</w:t>
            </w:r>
          </w:p>
        </w:tc>
        <w:tc>
          <w:tcPr>
            <w:tcW w:w="2870" w:type="dxa"/>
            <w:shd w:val="clear"/>
            <w:vAlign w:val="center"/>
          </w:tcPr>
          <w:p w14:paraId="608AD760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执行分工</w:t>
            </w:r>
          </w:p>
        </w:tc>
        <w:tc>
          <w:tcPr>
            <w:tcW w:w="0" w:type="auto"/>
            <w:shd w:val="clear"/>
            <w:vAlign w:val="center"/>
          </w:tcPr>
          <w:p w14:paraId="5AF46920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交付物及要求</w:t>
            </w:r>
          </w:p>
        </w:tc>
        <w:tc>
          <w:tcPr>
            <w:tcW w:w="1528" w:type="dxa"/>
            <w:shd w:val="clear"/>
            <w:vAlign w:val="center"/>
          </w:tcPr>
          <w:p w14:paraId="48829F06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交付物目的</w:t>
            </w:r>
          </w:p>
        </w:tc>
      </w:tr>
      <w:tr w14:paraId="2B35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shd w:val="clear"/>
            <w:vAlign w:val="center"/>
          </w:tcPr>
          <w:p w14:paraId="106F07A2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5.20 - 5.30</w:t>
            </w:r>
          </w:p>
        </w:tc>
        <w:tc>
          <w:tcPr>
            <w:tcW w:w="0" w:type="auto"/>
            <w:shd w:val="clear"/>
            <w:vAlign w:val="center"/>
          </w:tcPr>
          <w:p w14:paraId="0337A309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澳洲各州居民电价及政策全面收集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收集各州主要电力零售商(AGL, Origin, EnergyAustralia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,Amber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等)的居民分时电价(TOU)、峰谷平各时段电价及时间划分。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重点分析：新南威尔士州、昆士兰州等已实施或宣布“中午免费三小时”政策的具体规则、适用条件及限制。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收集各州基础电网服务费、 feed-in tariff (FiT) 上网电价补贴政策。</w:t>
            </w:r>
          </w:p>
        </w:tc>
        <w:tc>
          <w:tcPr>
            <w:tcW w:w="2870" w:type="dxa"/>
            <w:shd w:val="clear"/>
            <w:vAlign w:val="center"/>
          </w:tcPr>
          <w:p w14:paraId="12ABD801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系统化收集新州、维州、昆州、南澳、西澳、首都领地的数据，形成结构化表格。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曹至函(辅)： 查找并翻译最新政策文件，特别是关于“中午免费时段”的细则。</w:t>
            </w:r>
          </w:p>
        </w:tc>
        <w:tc>
          <w:tcPr>
            <w:tcW w:w="0" w:type="auto"/>
            <w:shd w:val="clear"/>
            <w:vAlign w:val="center"/>
          </w:tcPr>
          <w:p w14:paraId="5E9578FE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交付物1：《澳洲各州居民电价与新能源政策白皮书》(Excel+Word)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包含各州主要零售商电价方案对比表、政策原文摘要及解读（数据来源网址链接附在Excel和Word内）。须明确标注“午间免费”政策的时段、适用电量上限等信息。</w:t>
            </w:r>
          </w:p>
        </w:tc>
        <w:tc>
          <w:tcPr>
            <w:tcW w:w="1528" w:type="dxa"/>
            <w:shd w:val="clear"/>
            <w:vAlign w:val="center"/>
          </w:tcPr>
          <w:p w14:paraId="1F28F922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建立基准数据库，量化不同州、不同用电模式下家庭电费差异，识别V2G/V2H套利的核心机会窗口(如午间免费充电、晚间高价放电)。</w:t>
            </w:r>
          </w:p>
        </w:tc>
      </w:tr>
      <w:tr w14:paraId="61EEC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shd w:val="clear"/>
            <w:vAlign w:val="center"/>
          </w:tcPr>
          <w:p w14:paraId="3292DE2B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6.01 - 6.10</w:t>
            </w:r>
          </w:p>
        </w:tc>
        <w:tc>
          <w:tcPr>
            <w:tcW w:w="0" w:type="auto"/>
            <w:shd w:val="clear"/>
            <w:vAlign w:val="center"/>
          </w:tcPr>
          <w:p w14:paraId="7ACFED2C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澳洲典型家庭用电负荷模型构建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通过政府报告、电力公司公开数据、Facebook/小红书澳洲居民晒的电费账单，获取各州典型家庭(2-4人)的季度/月度用电量数据。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细分一日内(0-24点)典型家庭的用电负荷曲线(照明、家电、空调/取暖等)。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收集典型家庭屋顶光伏系统的装机容量分布及典型日发电曲线(夏季/冬季)。</w:t>
            </w:r>
          </w:p>
        </w:tc>
        <w:tc>
          <w:tcPr>
            <w:tcW w:w="2870" w:type="dxa"/>
            <w:shd w:val="clear"/>
            <w:vAlign w:val="center"/>
          </w:tcPr>
          <w:p w14:paraId="330192E0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查找并整理权威报告(如AEMO、CSIRO)中的家庭负荷数据。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基于标准家庭设备功率，估算并绘制一日负荷曲线图。</w:t>
            </w:r>
          </w:p>
        </w:tc>
        <w:tc>
          <w:tcPr>
            <w:tcW w:w="0" w:type="auto"/>
            <w:shd w:val="clear"/>
            <w:vAlign w:val="center"/>
          </w:tcPr>
          <w:p w14:paraId="7E978D90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交付物2：《澳洲典型家庭用电与光伏发电模型报告》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形成至少覆盖新州、维州、昆州、南澳的典型家庭“一日用电曲线”和“光伏发电曲线”图表(区分冬/夏，有必要的话，按四季区分)。</w:t>
            </w:r>
          </w:p>
        </w:tc>
        <w:tc>
          <w:tcPr>
            <w:tcW w:w="1528" w:type="dxa"/>
            <w:shd w:val="clear"/>
            <w:vAlign w:val="center"/>
          </w:tcPr>
          <w:p w14:paraId="06F9AA9B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为模拟V2H(Vehicle-to-Home)模式下的能源自给率和电费节省提供准确的输入参数。</w:t>
            </w:r>
          </w:p>
        </w:tc>
      </w:tr>
      <w:tr w14:paraId="3406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shd w:val="clear"/>
            <w:vAlign w:val="center"/>
          </w:tcPr>
          <w:p w14:paraId="694E71EF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6.11 - 6.15</w:t>
            </w:r>
          </w:p>
        </w:tc>
        <w:tc>
          <w:tcPr>
            <w:tcW w:w="2572" w:type="dxa"/>
            <w:shd w:val="clear"/>
            <w:vAlign w:val="center"/>
          </w:tcPr>
          <w:p w14:paraId="4E79F9C2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数据交叉验证与初步分析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结合电价和家庭负荷模型，初步计算一个无EV、无储能的“基准家庭”在各州的季度/年度电费。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引入“午间免费”政策：模拟家庭将主要用电负荷(如洗碗机、洗衣机)移至免费时段的潜在节省。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明确下一步建模所需的假设条件(如EV电池容量、V2G/V2H系统效率等)。</w:t>
            </w:r>
          </w:p>
        </w:tc>
        <w:tc>
          <w:tcPr>
            <w:tcW w:w="2870" w:type="dxa"/>
            <w:shd w:val="clear"/>
            <w:vAlign w:val="center"/>
          </w:tcPr>
          <w:p w14:paraId="0ADB61AD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完成基准家庭电费计算。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完成“午间免费”政策的节省模拟，并草拟建模假设清单。</w:t>
            </w:r>
          </w:p>
        </w:tc>
        <w:tc>
          <w:tcPr>
            <w:tcW w:w="2135" w:type="dxa"/>
            <w:shd w:val="clear"/>
            <w:vAlign w:val="center"/>
          </w:tcPr>
          <w:p w14:paraId="21845C28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交付物3：《澳洲基准家庭电费测算与V2G/V2H建模假设》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清晰的Excel测算表，列出各州基准家庭电费。提出建模所需假设(如：EV电池容量为60kWh，每日用于V2H放电的电量为20kWh，V2G/V2H系统充放电效率90%等)。</w:t>
            </w:r>
          </w:p>
        </w:tc>
        <w:tc>
          <w:tcPr>
            <w:tcW w:w="1528" w:type="dxa"/>
            <w:shd w:val="clear"/>
            <w:vAlign w:val="center"/>
          </w:tcPr>
          <w:p w14:paraId="31AC0009">
            <w:pPr>
              <w:keepNext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量化现状，为下一阶段的“改变模型”(加入EV和V2G/V2H)提供基线对比值(Baseline)，并统一计算口径。</w:t>
            </w:r>
          </w:p>
        </w:tc>
      </w:tr>
    </w:tbl>
    <w:p w14:paraId="49C4F029">
      <w:pPr>
        <w:spacing w:before="120" w:after="120" w:line="288" w:lineRule="auto"/>
        <w:ind w:left="0"/>
      </w:pPr>
    </w:p>
    <w:p w14:paraId="53C70A38">
      <w:pPr>
        <w:spacing w:before="260" w:after="120" w:line="288" w:lineRule="auto"/>
        <w:ind w:left="0"/>
        <w:jc w:val="left"/>
        <w:outlineLvl w:val="3"/>
      </w:pPr>
      <w:bookmarkStart w:id="1" w:name="heading_2"/>
      <w:r>
        <w:rPr>
          <w:rFonts w:ascii="Arial" w:hAnsi="Arial" w:eastAsia="等线" w:cs="Arial"/>
          <w:b/>
          <w:sz w:val="28"/>
        </w:rPr>
        <w:t>第二阶段：深度建模与经济效益量化（6月16日 - 7月15日）</w:t>
      </w:r>
      <w:bookmarkEnd w:id="1"/>
    </w:p>
    <w:p w14:paraId="105E2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核心任务：</w:t>
      </w:r>
      <w:r>
        <w:rPr>
          <w:rFonts w:ascii="Arial" w:hAnsi="Arial" w:eastAsia="等线" w:cs="Arial"/>
          <w:sz w:val="22"/>
        </w:rPr>
        <w:t xml:space="preserve"> 基于第一阶段数据，分别建模V2H和V2G两种模式下的家庭年度费用节省，并分析其对不同州、不同类型用户的吸引力。</w:t>
      </w:r>
    </w:p>
    <w:tbl>
      <w:tblPr>
        <w:tblW w:w="102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2270"/>
        <w:gridCol w:w="2220"/>
        <w:gridCol w:w="2223"/>
        <w:gridCol w:w="2054"/>
      </w:tblGrid>
      <w:tr w14:paraId="6063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4" w:type="dxa"/>
            <w:shd w:val="clear"/>
            <w:vAlign w:val="center"/>
          </w:tcPr>
          <w:p w14:paraId="5A40FB9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时间节点</w:t>
            </w:r>
          </w:p>
        </w:tc>
        <w:tc>
          <w:tcPr>
            <w:tcW w:w="2270" w:type="dxa"/>
            <w:shd w:val="clear"/>
            <w:vAlign w:val="center"/>
          </w:tcPr>
          <w:p w14:paraId="0BED1BF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调研任务</w:t>
            </w:r>
          </w:p>
        </w:tc>
        <w:tc>
          <w:tcPr>
            <w:tcW w:w="0" w:type="auto"/>
            <w:shd w:val="clear"/>
            <w:vAlign w:val="center"/>
          </w:tcPr>
          <w:p w14:paraId="7A34FE0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执行分工</w:t>
            </w:r>
          </w:p>
        </w:tc>
        <w:tc>
          <w:tcPr>
            <w:tcW w:w="0" w:type="auto"/>
            <w:shd w:val="clear"/>
            <w:vAlign w:val="center"/>
          </w:tcPr>
          <w:p w14:paraId="3CF4EDD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交付物及要求</w:t>
            </w:r>
          </w:p>
        </w:tc>
        <w:tc>
          <w:tcPr>
            <w:tcW w:w="2053" w:type="dxa"/>
            <w:shd w:val="clear"/>
            <w:vAlign w:val="center"/>
          </w:tcPr>
          <w:p w14:paraId="236ABEB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交付物目的</w:t>
            </w:r>
          </w:p>
        </w:tc>
      </w:tr>
      <w:tr w14:paraId="6897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shd w:val="clear"/>
            <w:vAlign w:val="center"/>
          </w:tcPr>
          <w:p w14:paraId="0ECF306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6.16 - 6.30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(曹至函半勤)</w:t>
            </w:r>
          </w:p>
        </w:tc>
        <w:tc>
          <w:tcPr>
            <w:tcW w:w="2270" w:type="dxa"/>
            <w:shd w:val="clear"/>
            <w:vAlign w:val="center"/>
          </w:tcPr>
          <w:p w14:paraId="4BB7221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V2H模式经济性建模与敏感性分析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建立V2H经济模型：输入(电价、家庭负荷曲线、光伏曲线、EV电池容量、充放电策略) -&gt; 输出(新的购电费、节省的电费、潜在的电池衰减成本)。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模拟不同充放电策略：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策略A：最大自用(光伏充车，晚上车供家)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策略B：峰谷套利(中午免费/低价充电，晚高峰放电)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敏感性分析：改变EV电池容量(40kWh, 60kWh, 80kWh)、日均行驶耗电量、有无光伏等条件下，年节省费用的变化。</w:t>
            </w:r>
          </w:p>
        </w:tc>
        <w:tc>
          <w:tcPr>
            <w:tcW w:w="0" w:type="auto"/>
            <w:shd w:val="clear"/>
            <w:vAlign w:val="center"/>
          </w:tcPr>
          <w:p w14:paraId="573012A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建立并运行V2H经济性模型，完成敏感性分析。使用Excel或Python脚本。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协助设定不同充放电策略的逻辑规则，并验证模型结果的合理性。</w:t>
            </w:r>
          </w:p>
        </w:tc>
        <w:tc>
          <w:tcPr>
            <w:tcW w:w="0" w:type="auto"/>
            <w:shd w:val="clear"/>
            <w:vAlign w:val="center"/>
          </w:tcPr>
          <w:p w14:paraId="342D40E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交付物4：《澳洲V2H模式各州居民年度节省费用分析报告》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明确给出各州不同场景下(如有/无光伏，不同电池容量)的年节省费用范围(例如：南澳带光伏+60kWh EV，年节省800-1200澳元)。识别出最有利的场景和州。</w:t>
            </w:r>
          </w:p>
        </w:tc>
        <w:tc>
          <w:tcPr>
            <w:tcW w:w="2053" w:type="dxa"/>
            <w:shd w:val="clear"/>
            <w:vAlign w:val="center"/>
          </w:tcPr>
          <w:p w14:paraId="6336000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量化V2H的直接经济价值，定义V2H产品的核心卖点(如“年度省电超1000澳元”)，并为产品定价提供依据。</w:t>
            </w:r>
          </w:p>
        </w:tc>
      </w:tr>
      <w:tr w14:paraId="6EED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shd w:val="clear"/>
            <w:vAlign w:val="center"/>
          </w:tcPr>
          <w:p w14:paraId="0212DA5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7.01 - 7.15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(曹至函全勤)</w:t>
            </w:r>
          </w:p>
        </w:tc>
        <w:tc>
          <w:tcPr>
            <w:tcW w:w="2270" w:type="dxa"/>
            <w:shd w:val="clear"/>
            <w:vAlign w:val="center"/>
          </w:tcPr>
          <w:p w14:paraId="451AA81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V2G模式经济性建模与商业闭环分析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调研澳洲频率控制辅助服务(FCAS)市场及VPP(虚拟电厂)的参与机制和收益模式(如通过Amber、AGL等聚合商)。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建立V2G经济模型：在V2H模型基础上，增加将部分电量售回电网(V2G)的收益通道。模拟两种参与方式：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被动调用(通过VPP聚合商，获取固定服务费或分成)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主动套利(在电价最高时段售电)</w:t>
            </w:r>
          </w:p>
          <w:p w14:paraId="668B19C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3.关键计算：量化V2G模式下，比单纯V2H模式每年能“多赚”多少钱。评估午间免费充电后晚高峰售电的“零成本套利”空间。</w:t>
            </w:r>
          </w:p>
        </w:tc>
        <w:tc>
          <w:tcPr>
            <w:tcW w:w="2220" w:type="dxa"/>
            <w:shd w:val="clear"/>
            <w:vAlign w:val="center"/>
          </w:tcPr>
          <w:p w14:paraId="113BFE7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调研FCAS/VPP收益机制，完成V2G模型建立与测算。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分析对比不同VPP聚合商的收益模式，协助完成“零成本套利”空间的精准计算。</w:t>
            </w:r>
          </w:p>
        </w:tc>
        <w:tc>
          <w:tcPr>
            <w:tcW w:w="2223" w:type="dxa"/>
            <w:shd w:val="clear"/>
            <w:vAlign w:val="center"/>
          </w:tcPr>
          <w:p w14:paraId="3326A6E0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交付物5：《澳洲V2G模式各州居民年度收益分析及商业闭环报告》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对比各州V2G的总收益(节省电费+售电收入)。分析不同参与模式下的年收益(如南澳通过VPP年收益可达1500-2000澳元)。绘制“投资回报周期”图表(对比设备+安装成本)。</w:t>
            </w:r>
          </w:p>
        </w:tc>
        <w:tc>
          <w:tcPr>
            <w:tcW w:w="2053" w:type="dxa"/>
            <w:shd w:val="clear"/>
            <w:vAlign w:val="center"/>
          </w:tcPr>
          <w:p w14:paraId="30EF23D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定义V2G的核心用户价值，论证商业闭环的可行性。解答关键问题：“用户为什么要多花钱装双向桩？多快能回本？”，从而形成初步的产品定义。</w:t>
            </w:r>
          </w:p>
        </w:tc>
      </w:tr>
    </w:tbl>
    <w:p w14:paraId="449E360E">
      <w:pPr>
        <w:spacing w:before="120" w:after="120" w:line="288" w:lineRule="auto"/>
        <w:ind w:left="0"/>
      </w:pPr>
    </w:p>
    <w:p w14:paraId="7BDF0E6F">
      <w:pPr>
        <w:spacing w:before="260" w:after="120" w:line="288" w:lineRule="auto"/>
        <w:ind w:left="0"/>
        <w:jc w:val="left"/>
        <w:outlineLvl w:val="3"/>
      </w:pPr>
      <w:bookmarkStart w:id="2" w:name="heading_3"/>
      <w:r>
        <w:rPr>
          <w:rFonts w:ascii="Arial" w:hAnsi="Arial" w:eastAsia="等线" w:cs="Arial"/>
          <w:b/>
          <w:sz w:val="28"/>
        </w:rPr>
        <w:t>第三阶段：竞品、渠道与产品定义输入（7月16日 - 7月25日）</w:t>
      </w:r>
      <w:bookmarkEnd w:id="2"/>
    </w:p>
    <w:p w14:paraId="6E4357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核心任务：</w:t>
      </w:r>
      <w:r>
        <w:rPr>
          <w:rFonts w:ascii="Arial" w:hAnsi="Arial" w:eastAsia="等线" w:cs="Arial"/>
          <w:sz w:val="22"/>
        </w:rPr>
        <w:t xml:space="preserve"> 结合前两阶段的经济性结论，调研现有市场解决方案和用户反馈，为最终产品定义提供输入。</w:t>
      </w:r>
    </w:p>
    <w:tbl>
      <w:tblPr>
        <w:tblW w:w="93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2728"/>
        <w:gridCol w:w="1644"/>
        <w:gridCol w:w="2315"/>
        <w:gridCol w:w="1541"/>
      </w:tblGrid>
      <w:tr w14:paraId="18E0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shd w:val="clear"/>
            <w:vAlign w:val="center"/>
          </w:tcPr>
          <w:p w14:paraId="79EE178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时间节点</w:t>
            </w:r>
          </w:p>
        </w:tc>
        <w:tc>
          <w:tcPr>
            <w:tcW w:w="2728" w:type="dxa"/>
            <w:shd w:val="clear"/>
            <w:vAlign w:val="center"/>
          </w:tcPr>
          <w:p w14:paraId="29BB273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调研任务</w:t>
            </w:r>
          </w:p>
        </w:tc>
        <w:tc>
          <w:tcPr>
            <w:tcW w:w="1644" w:type="dxa"/>
            <w:shd w:val="clear"/>
            <w:vAlign w:val="center"/>
          </w:tcPr>
          <w:p w14:paraId="3F53948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执行分工</w:t>
            </w:r>
          </w:p>
        </w:tc>
        <w:tc>
          <w:tcPr>
            <w:tcW w:w="0" w:type="auto"/>
            <w:shd w:val="clear"/>
            <w:vAlign w:val="center"/>
          </w:tcPr>
          <w:p w14:paraId="0748979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交付物及要求</w:t>
            </w:r>
          </w:p>
        </w:tc>
        <w:tc>
          <w:tcPr>
            <w:tcW w:w="1541" w:type="dxa"/>
            <w:shd w:val="clear"/>
            <w:vAlign w:val="center"/>
          </w:tcPr>
          <w:p w14:paraId="426242F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交付物目的</w:t>
            </w:r>
          </w:p>
        </w:tc>
      </w:tr>
      <w:tr w14:paraId="4F82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shd w:val="clear"/>
            <w:vAlign w:val="center"/>
          </w:tcPr>
          <w:p w14:paraId="49C4483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7.16 - 7.25</w:t>
            </w:r>
          </w:p>
        </w:tc>
        <w:tc>
          <w:tcPr>
            <w:tcW w:w="2728" w:type="dxa"/>
            <w:shd w:val="clear"/>
            <w:vAlign w:val="center"/>
          </w:tcPr>
          <w:p w14:paraId="1BA52EB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竞品与用户痛点分析</w:t>
            </w:r>
          </w:p>
          <w:p w14:paraId="08A6918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1.竞品分析: 整理澳洲市场已有的双向充电解决方案(如Wallbox Quasar 2, enphase, 特斯拉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Powerwall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,思格SigenStor 系列一体机，对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比V2H)。分析其价格、功能、安装要求、售后及评价。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用户痛点调研: 通过网络论坛(例如Facebook、小红书等)、产品评论、以及已有的《澳洲V2G场景深度分析》报告，挖掘用户对现有方案的“槽点”(如：价格太高、安装复杂、车型适配少、不支持某个VPP)。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渠道需求初探: 结合第一阶段交付物，初步分析光伏安装商、4S店的潜在需求(他们需要什么样的产品来吸引客户？)。</w:t>
            </w:r>
          </w:p>
        </w:tc>
        <w:tc>
          <w:tcPr>
            <w:tcW w:w="1644" w:type="dxa"/>
            <w:shd w:val="clear"/>
            <w:vAlign w:val="center"/>
          </w:tcPr>
          <w:p w14:paraId="25547EF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竞品信息收集与整理。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深入社区论坛，提炼用户“痛点”，形成关键发现。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(协同产品经理)</w:t>
            </w:r>
          </w:p>
        </w:tc>
        <w:tc>
          <w:tcPr>
            <w:tcW w:w="0" w:type="auto"/>
            <w:shd w:val="clear"/>
            <w:vAlign w:val="center"/>
          </w:tcPr>
          <w:p w14:paraId="1DA015B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交付物6：《竞品分析与用户痛点研究报告》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列表对比主要竞品(渠道、价格、功率、认证、VPP兼容性及售后方案)。用典型案例或论坛博主的原话总结用户槽点。</w:t>
            </w:r>
          </w:p>
        </w:tc>
        <w:tc>
          <w:tcPr>
            <w:tcW w:w="1541" w:type="dxa"/>
            <w:shd w:val="clear"/>
            <w:vAlign w:val="center"/>
          </w:tcPr>
          <w:p w14:paraId="373DE1B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识别市场空白和差异化机会。避免“闭门造车”，确保我们的产品定义能解决真实用户的痛点，并优于竞争对手。</w:t>
            </w:r>
          </w:p>
        </w:tc>
      </w:tr>
      <w:tr w14:paraId="4BB9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shd w:val="clear"/>
            <w:vAlign w:val="center"/>
          </w:tcPr>
          <w:p w14:paraId="237EBE5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7.16 - 7.25</w:t>
            </w:r>
          </w:p>
        </w:tc>
        <w:tc>
          <w:tcPr>
            <w:tcW w:w="2728" w:type="dxa"/>
            <w:shd w:val="clear"/>
            <w:vAlign w:val="center"/>
          </w:tcPr>
          <w:p w14:paraId="5C24985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商业闭环与产品定义初探</w:t>
            </w:r>
          </w:p>
          <w:p w14:paraId="3020C42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1.商业模式设计：基于以上所有分析，提出可行的商业模式。例如：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“硬件+服务”套餐(卖桩并协助用户接入最优VPP)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“租桩”模式(降低用户门槛)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*与光伏安装商/4S店的分销合作模式*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产品定义草案：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基于经济模型和竞品分析，定义目标产品的关键参数：功率(7kW单相？三相等)、接口(Type 2？)、智能功能(必须兼容哪些主流VPP？)、安装便捷性(如何降低安装成本？)、售后保障性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(如何提高售后效率？)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- 识别出最优先切入的目标客群画像（例如：南澳拥有光伏、有中午三小时免费用电政策、比亚迪Atto 3、家庭年用电&gt;5000kWh的户主）。</w:t>
            </w:r>
          </w:p>
        </w:tc>
        <w:tc>
          <w:tcPr>
            <w:tcW w:w="1644" w:type="dxa"/>
            <w:shd w:val="clear"/>
            <w:vAlign w:val="center"/>
          </w:tcPr>
          <w:p w14:paraId="58EF47A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由产品经理指导，并与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 、 曹至函(主) 共同完成。</w:t>
            </w:r>
          </w:p>
        </w:tc>
        <w:tc>
          <w:tcPr>
            <w:tcW w:w="2315" w:type="dxa"/>
            <w:shd w:val="clear"/>
            <w:vAlign w:val="center"/>
          </w:tcPr>
          <w:p w14:paraId="389D0CF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交付物7：《V2G/V2H商业闭环建议方案》与《初代产品定义建议书》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商业闭环方案需清晰描述“谁付钱、谁受益、我们如何赚钱”。产品定义建议书需列出3-5个核心产品规格和差异化卖点，并附上目标客群画像。</w:t>
            </w:r>
          </w:p>
        </w:tc>
        <w:tc>
          <w:tcPr>
            <w:tcW w:w="1541" w:type="dxa"/>
            <w:shd w:val="clear"/>
            <w:vAlign w:val="center"/>
          </w:tcPr>
          <w:p w14:paraId="41AA415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将前面的所有分析落地为可执行的商业计划和产品开发指南。这是本次调研的终极输出，直接服务于“业务方向和产品规划”。</w:t>
            </w:r>
          </w:p>
        </w:tc>
      </w:tr>
    </w:tbl>
    <w:p w14:paraId="68B2DF4F">
      <w:pPr>
        <w:spacing w:before="120" w:after="120" w:line="288" w:lineRule="auto"/>
        <w:ind w:left="0"/>
      </w:pPr>
    </w:p>
    <w:p w14:paraId="34AE476A">
      <w:pPr>
        <w:spacing w:before="260" w:after="120" w:line="288" w:lineRule="auto"/>
        <w:ind w:left="0"/>
        <w:jc w:val="left"/>
        <w:outlineLvl w:val="3"/>
      </w:pPr>
      <w:bookmarkStart w:id="3" w:name="heading_4"/>
      <w:r>
        <w:rPr>
          <w:rFonts w:ascii="Arial" w:hAnsi="Arial" w:eastAsia="等线" w:cs="Arial"/>
          <w:b/>
          <w:sz w:val="28"/>
        </w:rPr>
        <w:t>第四阶段：整合分析与报告输出（7月26日 - 7月30日）</w:t>
      </w:r>
      <w:bookmarkEnd w:id="3"/>
    </w:p>
    <w:p w14:paraId="374BD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核心任务：</w:t>
      </w:r>
      <w:r>
        <w:rPr>
          <w:rFonts w:ascii="Arial" w:hAnsi="Arial" w:eastAsia="等线" w:cs="Arial"/>
          <w:sz w:val="22"/>
        </w:rPr>
        <w:t xml:space="preserve"> 将所有调研成果整合成一份综合性报告，清</w:t>
      </w:r>
      <w:r>
        <w:rPr>
          <w:rFonts w:hint="eastAsia" w:ascii="Arial" w:hAnsi="Arial" w:eastAsia="等线" w:cs="Arial"/>
          <w:sz w:val="22"/>
          <w:lang w:eastAsia="zh-CN"/>
        </w:rPr>
        <w:t>晰地</w:t>
      </w:r>
      <w:r>
        <w:rPr>
          <w:rFonts w:ascii="Arial" w:hAnsi="Arial" w:eastAsia="等线" w:cs="Arial"/>
          <w:sz w:val="22"/>
        </w:rPr>
        <w:t>阐述市场机会、经济效益和行动建议。</w:t>
      </w:r>
    </w:p>
    <w:tbl>
      <w:tblPr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1762"/>
        <w:gridCol w:w="2364"/>
        <w:gridCol w:w="1727"/>
        <w:gridCol w:w="1440"/>
      </w:tblGrid>
      <w:tr w14:paraId="6F66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shd w:val="clear"/>
            <w:vAlign w:val="center"/>
          </w:tcPr>
          <w:p w14:paraId="65C0ADF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时间节点</w:t>
            </w:r>
          </w:p>
        </w:tc>
        <w:tc>
          <w:tcPr>
            <w:tcW w:w="1762" w:type="dxa"/>
            <w:shd w:val="clear"/>
            <w:vAlign w:val="center"/>
          </w:tcPr>
          <w:p w14:paraId="57E752C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调研任务</w:t>
            </w:r>
          </w:p>
        </w:tc>
        <w:tc>
          <w:tcPr>
            <w:tcW w:w="2364" w:type="dxa"/>
            <w:shd w:val="clear"/>
            <w:vAlign w:val="center"/>
          </w:tcPr>
          <w:p w14:paraId="731336C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执行分工</w:t>
            </w:r>
          </w:p>
        </w:tc>
        <w:tc>
          <w:tcPr>
            <w:tcW w:w="1727" w:type="dxa"/>
            <w:shd w:val="clear"/>
            <w:vAlign w:val="center"/>
          </w:tcPr>
          <w:p w14:paraId="6920B84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交付物及要求</w:t>
            </w:r>
          </w:p>
        </w:tc>
        <w:tc>
          <w:tcPr>
            <w:tcW w:w="1440" w:type="dxa"/>
            <w:shd w:val="clear"/>
            <w:vAlign w:val="center"/>
          </w:tcPr>
          <w:p w14:paraId="4ABE9F8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交付物目的</w:t>
            </w:r>
          </w:p>
        </w:tc>
      </w:tr>
      <w:tr w14:paraId="584D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9" w:type="dxa"/>
            <w:shd w:val="clear"/>
            <w:vAlign w:val="center"/>
          </w:tcPr>
          <w:p w14:paraId="36BBF89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7.26 - 7.30</w:t>
            </w:r>
          </w:p>
        </w:tc>
        <w:tc>
          <w:tcPr>
            <w:tcW w:w="1762" w:type="dxa"/>
            <w:shd w:val="clear"/>
            <w:vAlign w:val="center"/>
          </w:tcPr>
          <w:p w14:paraId="15193FD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最终报告整合与汇报准备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1. 将所有数据、图表、分析结论汇总到一份完整的Word报告中（同步附带Excel表格和PPT解说）。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2. 核心结论提炼：用一页纸PPT总结出V2G/V2H能给澳洲各州居民每年节省多少钱，投资回报周期是多少。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3. 基于分析，明确提出“我们应做什么样的产品”、“优先进入哪个州”、“目标客户是谁”的具体行动建议。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4. 准备最终汇报材料，内部讨论。</w:t>
            </w:r>
          </w:p>
        </w:tc>
        <w:tc>
          <w:tcPr>
            <w:tcW w:w="2364" w:type="dxa"/>
            <w:shd w:val="clear"/>
            <w:vAlign w:val="center"/>
          </w:tcPr>
          <w:p w14:paraId="4056091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陈美霖(主)： 报告格式整合，图表美化。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曹至函(主)： 提炼核心观点，协助制作汇报PPT。</w:t>
            </w:r>
          </w:p>
        </w:tc>
        <w:tc>
          <w:tcPr>
            <w:tcW w:w="1727" w:type="dxa"/>
            <w:shd w:val="clear"/>
            <w:vAlign w:val="center"/>
          </w:tcPr>
          <w:p w14:paraId="6D5565C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交付物8：《澳洲V2G/V2H市场深度调研与商业机会报告》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要求： 结构清晰、数据详实、结论明确、建议可执行。</w:t>
            </w:r>
          </w:p>
        </w:tc>
        <w:tc>
          <w:tcPr>
            <w:tcW w:w="1440" w:type="dxa"/>
            <w:shd w:val="clear"/>
            <w:vAlign w:val="center"/>
          </w:tcPr>
          <w:p w14:paraId="1CA8216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为澳洲V2G/V2H业务规划提供的基础。论证项目进入澳洲市场的可行性、优先级和具体路径。</w:t>
            </w:r>
          </w:p>
        </w:tc>
      </w:tr>
    </w:tbl>
    <w:p w14:paraId="79891B7E">
      <w:pPr>
        <w:spacing w:before="120" w:after="120" w:line="288" w:lineRule="auto"/>
        <w:ind w:left="0"/>
      </w:pPr>
    </w:p>
    <w:p w14:paraId="6BDD3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协作与沟通机制：</w:t>
      </w:r>
    </w:p>
    <w:p w14:paraId="49E14A7A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每周一上午：两人与</w:t>
      </w:r>
      <w:r>
        <w:rPr>
          <w:rFonts w:hint="eastAsia" w:ascii="Arial" w:hAnsi="Arial" w:eastAsia="等线" w:cs="Arial"/>
          <w:sz w:val="22"/>
          <w:lang w:val="en-US" w:eastAsia="zh-CN"/>
        </w:rPr>
        <w:t>负责人</w:t>
      </w:r>
      <w:r>
        <w:rPr>
          <w:rFonts w:ascii="Arial" w:hAnsi="Arial" w:eastAsia="等线" w:cs="Arial"/>
          <w:sz w:val="22"/>
        </w:rPr>
        <w:t>召开20分钟</w:t>
      </w:r>
      <w:r>
        <w:rPr>
          <w:rFonts w:hint="eastAsia" w:ascii="Arial" w:hAnsi="Arial" w:eastAsia="等线" w:cs="Arial"/>
          <w:sz w:val="22"/>
          <w:lang w:val="en-US" w:eastAsia="zh-CN"/>
        </w:rPr>
        <w:t>短会</w:t>
      </w:r>
      <w:r>
        <w:rPr>
          <w:rFonts w:ascii="Arial" w:hAnsi="Arial" w:eastAsia="等线" w:cs="Arial"/>
          <w:sz w:val="22"/>
        </w:rPr>
        <w:t>，同步上周进展、本周计划及遇到的问题。</w:t>
      </w:r>
    </w:p>
    <w:p w14:paraId="60459B34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每周五下午：两人内部总结，整理周报发送给</w:t>
      </w:r>
      <w:r>
        <w:rPr>
          <w:rFonts w:hint="eastAsia" w:ascii="Arial" w:hAnsi="Arial" w:eastAsia="等线" w:cs="Arial"/>
          <w:sz w:val="22"/>
          <w:lang w:val="en-US" w:eastAsia="zh-CN"/>
        </w:rPr>
        <w:t>负责人</w:t>
      </w:r>
      <w:r>
        <w:rPr>
          <w:rFonts w:ascii="Arial" w:hAnsi="Arial" w:eastAsia="等线" w:cs="Arial"/>
          <w:sz w:val="22"/>
        </w:rPr>
        <w:t>。</w:t>
      </w:r>
    </w:p>
    <w:p w14:paraId="09E05F94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共享工作空间：使用</w:t>
      </w:r>
      <w:r>
        <w:rPr>
          <w:rFonts w:hint="eastAsia" w:ascii="Arial" w:hAnsi="Arial" w:eastAsia="等线" w:cs="Arial"/>
          <w:sz w:val="22"/>
          <w:lang w:val="en-US" w:eastAsia="zh-CN"/>
        </w:rPr>
        <w:t>在线</w:t>
      </w:r>
      <w:r>
        <w:rPr>
          <w:rFonts w:ascii="Arial" w:hAnsi="Arial" w:eastAsia="等线" w:cs="Arial"/>
          <w:sz w:val="22"/>
        </w:rPr>
        <w:t>协同文档，所有数据、中间文件实时更新，确保信息同步。</w:t>
      </w:r>
    </w:p>
    <w:p w14:paraId="6EDE4ACA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交叉验证：双方对关键数据(如电价、负荷模型)进行交叉核对，确保数据准确性。</w:t>
      </w:r>
    </w:p>
    <w:p w14:paraId="5AC18BE6">
      <w:pPr>
        <w:spacing w:before="120" w:after="120" w:line="288" w:lineRule="auto"/>
        <w:ind w:left="0" w:firstLine="440" w:firstLineChars="20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通过</w:t>
      </w:r>
      <w:r>
        <w:rPr>
          <w:rFonts w:hint="eastAsia" w:ascii="Arial" w:hAnsi="Arial" w:eastAsia="等线" w:cs="Arial"/>
          <w:sz w:val="22"/>
          <w:lang w:eastAsia="zh-CN"/>
        </w:rPr>
        <w:t>此次</w:t>
      </w:r>
      <w:r>
        <w:rPr>
          <w:rFonts w:ascii="Arial" w:hAnsi="Arial" w:eastAsia="等线" w:cs="Arial"/>
          <w:sz w:val="22"/>
        </w:rPr>
        <w:t>计划，两位实习生</w:t>
      </w:r>
      <w:r>
        <w:rPr>
          <w:rFonts w:hint="eastAsia" w:ascii="Arial" w:hAnsi="Arial" w:eastAsia="等线" w:cs="Arial"/>
          <w:sz w:val="22"/>
          <w:lang w:val="en-US" w:eastAsia="zh-CN"/>
        </w:rPr>
        <w:t>将学会如何</w:t>
      </w:r>
      <w:r>
        <w:rPr>
          <w:rFonts w:ascii="Arial" w:hAnsi="Arial" w:eastAsia="等线" w:cs="Arial"/>
          <w:sz w:val="22"/>
        </w:rPr>
        <w:t>系统地完成从基础数据到商业洞察的完整调研闭环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并为开始第二阶段产品实习工作（</w:t>
      </w:r>
      <w:r>
        <w:rPr>
          <w:rFonts w:ascii="Arial" w:hAnsi="Arial" w:eastAsia="等线" w:cs="Arial"/>
          <w:sz w:val="22"/>
        </w:rPr>
        <w:t>2026.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.</w:t>
      </w:r>
      <w:r>
        <w:rPr>
          <w:rFonts w:hint="eastAsia" w:ascii="Arial" w:hAnsi="Arial" w:eastAsia="等线" w:cs="Arial"/>
          <w:sz w:val="22"/>
          <w:lang w:val="en-US" w:eastAsia="zh-CN"/>
        </w:rPr>
        <w:t>01</w:t>
      </w:r>
      <w:r>
        <w:rPr>
          <w:rFonts w:ascii="Arial" w:hAnsi="Arial" w:eastAsia="等线" w:cs="Arial"/>
          <w:sz w:val="22"/>
        </w:rPr>
        <w:t xml:space="preserve"> - 2026.0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  <w:r>
        <w:rPr>
          <w:rFonts w:ascii="Arial" w:hAnsi="Arial" w:eastAsia="等线" w:cs="Arial"/>
          <w:sz w:val="22"/>
        </w:rPr>
        <w:t>.3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hint="eastAsia" w:ascii="Arial" w:hAnsi="Arial" w:eastAsia="等线" w:cs="Arial"/>
          <w:sz w:val="22"/>
          <w:lang w:val="en-US" w:eastAsia="zh-CN"/>
        </w:rPr>
        <w:t>）打下基础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同时为公司开展澳洲V2G/V2H业务提供基础数据。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3AB0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107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EC6CA"/>
    <w:multiLevelType w:val="singleLevel"/>
    <w:tmpl w:val="7DFEC6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24F4"/>
    <w:rsid w:val="02A4476B"/>
    <w:rsid w:val="08130D4D"/>
    <w:rsid w:val="0BB35A1E"/>
    <w:rsid w:val="0E9438E5"/>
    <w:rsid w:val="1BE37C5A"/>
    <w:rsid w:val="1C3109C5"/>
    <w:rsid w:val="2ED9118D"/>
    <w:rsid w:val="30A532D8"/>
    <w:rsid w:val="3B7B35B3"/>
    <w:rsid w:val="435C016E"/>
    <w:rsid w:val="52860D64"/>
    <w:rsid w:val="540463E4"/>
    <w:rsid w:val="56981066"/>
    <w:rsid w:val="5F1E1D63"/>
    <w:rsid w:val="6072727B"/>
    <w:rsid w:val="643423CE"/>
    <w:rsid w:val="6DD95D94"/>
    <w:rsid w:val="6E443B55"/>
    <w:rsid w:val="6E9D5013"/>
    <w:rsid w:val="73815910"/>
    <w:rsid w:val="73887E33"/>
    <w:rsid w:val="76D57A40"/>
    <w:rsid w:val="79476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728</Words>
  <Characters>801</Characters>
  <TotalTime>129</TotalTime>
  <ScaleCrop>false</ScaleCrop>
  <LinksUpToDate>false</LinksUpToDate>
  <CharactersWithSpaces>821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2026-05-20T02:11:00Z</dcterms:created>
  <dc:creator>Apache POI</dc:creator>
  <cp:lastModifiedBy>ZLS</cp:lastModifiedBy>
  <dcterms:modified xsi:type="dcterms:W3CDTF">2026-05-20T05:59:39Z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eyJoZGlkIjoiY2EwYzQxMzkwMjcyMTFjZDQ4ZjM5NWM2ZWM0OTI5NmIiLCJ1c2VySWQiOiIzMjEyNDY5MzUifQ==</vt:lpwstr>
  </property>
  <property fmtid="{D5CDD505-2E9C-101B-9397-08002B2CF9AE}" pid="3" name="KSOProductBuildVer">
    <vt:lpwstr>2052-12.1.0.26373</vt:lpwstr>
  </property>
  <property fmtid="{D5CDD505-2E9C-101B-9397-08002B2CF9AE}" pid="4" name="ICV">
    <vt:lpwstr>85171EAA0A1C406386243075A5E15A02_13</vt:lpwstr>
  </property>
</Properties>
</file>