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5B900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车网互动规模化应用试点项目调研大纲</w:t>
      </w:r>
    </w:p>
    <w:p w14:paraId="04C679B2">
      <w:pPr>
        <w:spacing w:before="320" w:after="120" w:line="288" w:lineRule="auto"/>
        <w:ind w:left="0"/>
        <w:jc w:val="both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一、调研目的</w:t>
      </w:r>
      <w:bookmarkEnd w:id="0"/>
    </w:p>
    <w:p w14:paraId="61DFF851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调研30个国家级V2G试点项目的建设内容、运营模式、技术路径、实际成效等，为公司后续在宁波、北京等地推进V2G项目提供参考借鉴。</w:t>
      </w:r>
    </w:p>
    <w:p w14:paraId="3073D81C">
      <w:pPr>
        <w:spacing w:before="320" w:after="120" w:line="288" w:lineRule="auto"/>
        <w:ind w:left="0"/>
        <w:jc w:val="both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二、项目分组（5组，每组6个项目）</w:t>
      </w:r>
      <w:bookmarkEnd w:id="1"/>
    </w:p>
    <w:p w14:paraId="3E3766E9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建议按地理区域分组，便于信息收集的区域一致性：</w:t>
      </w:r>
    </w:p>
    <w:tbl>
      <w:tblPr>
        <w:tblStyle w:val="2"/>
        <w:tblW w:w="76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  <w:gridCol w:w="1114"/>
        <w:gridCol w:w="4933"/>
      </w:tblGrid>
      <w:tr w14:paraId="3C46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F9A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  <w:szCs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负责项目序号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100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EE5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覆盖区域</w:t>
            </w:r>
          </w:p>
        </w:tc>
      </w:tr>
      <w:tr w14:paraId="5E1F6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159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szCs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1-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054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eastAsia="等线"/>
                <w:sz w:val="22"/>
                <w:lang w:val="en-US" w:eastAsia="zh-CN"/>
              </w:rPr>
              <w:t>黄湘雨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BE6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北京、天津、河北保定、山西晋城、</w:t>
            </w:r>
          </w:p>
        </w:tc>
      </w:tr>
      <w:tr w14:paraId="163E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A41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8&amp;26~27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956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eastAsia="等线"/>
                <w:sz w:val="22"/>
                <w:lang w:val="en-US" w:eastAsia="zh-CN"/>
              </w:rPr>
              <w:t>张文奕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F68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上海（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）、重庆（2 个）</w:t>
            </w:r>
          </w:p>
        </w:tc>
      </w:tr>
      <w:tr w14:paraId="5433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976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9~13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4F3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陈美霖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4F1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江苏常州、南京、无锡、浙江湖州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ascii="Arial" w:hAnsi="Arial" w:eastAsia="等线" w:cs="Arial"/>
                <w:sz w:val="22"/>
              </w:rPr>
              <w:t>安徽合肥、</w:t>
            </w:r>
          </w:p>
        </w:tc>
      </w:tr>
      <w:tr w14:paraId="225C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8E1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-18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CEB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曹至涵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88C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福建宁德、山东淄博、济南、德州、青岛</w:t>
            </w:r>
          </w:p>
        </w:tc>
      </w:tr>
      <w:tr w14:paraId="3066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16D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szCs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19-2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6AF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王正午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0F3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湖北武汉（2 个）、广东广州、深圳、广西柳州、</w:t>
            </w:r>
          </w:p>
        </w:tc>
      </w:tr>
      <w:tr w14:paraId="0928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2F2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-30</w:t>
            </w:r>
          </w:p>
        </w:tc>
        <w:tc>
          <w:tcPr>
            <w:tcW w:w="11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56E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eastAsia="等线"/>
                <w:sz w:val="22"/>
                <w:lang w:val="en-US" w:eastAsia="zh-CN"/>
              </w:rPr>
              <w:t>汪涵益</w:t>
            </w:r>
          </w:p>
        </w:tc>
        <w:tc>
          <w:tcPr>
            <w:tcW w:w="49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C95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海南海口（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个）、四川成都（3 个）</w:t>
            </w:r>
          </w:p>
        </w:tc>
      </w:tr>
    </w:tbl>
    <w:p w14:paraId="1D4B976F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30 个项目完整名单参见附件 2，涵盖北京、天津、河北、山西、上海、江苏、浙江、安徽、福建、山东、湖北、广东、广西、海南、重庆、四川等 16 个省（区、市）。</w:t>
      </w:r>
    </w:p>
    <w:p w14:paraId="7A9D6449">
      <w:pPr>
        <w:spacing w:before="320" w:after="120" w:line="288" w:lineRule="auto"/>
        <w:ind w:left="0"/>
        <w:jc w:val="both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三、调研内容框架（每个项目按以下维度收集信息）</w:t>
      </w:r>
      <w:bookmarkEnd w:id="2"/>
    </w:p>
    <w:p w14:paraId="6C75B5BA">
      <w:pPr>
        <w:spacing w:before="300" w:after="120" w:line="288" w:lineRule="auto"/>
        <w:ind w:left="0"/>
        <w:jc w:val="both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（一）项目基本情况</w:t>
      </w:r>
      <w:bookmarkEnd w:id="3"/>
    </w:p>
    <w:p w14:paraId="718E1BB7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项目全称、所在地、牵头单位 / 承建单位</w:t>
      </w:r>
    </w:p>
    <w:p w14:paraId="794BF688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项目类型（居民社区 / 产业园区 / 公交场站 / 公共充换电站 / 微电网等）</w:t>
      </w:r>
    </w:p>
    <w:p w14:paraId="0E0EBC2D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项目启动时间、计划完成时间、当前所处阶段（规划 / 建设 / 运营）</w:t>
      </w:r>
    </w:p>
    <w:p w14:paraId="030728E5">
      <w:pPr>
        <w:spacing w:before="300" w:after="120" w:line="288" w:lineRule="auto"/>
        <w:ind w:left="0"/>
        <w:jc w:val="both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（二）技术方案</w:t>
      </w:r>
      <w:bookmarkEnd w:id="4"/>
    </w:p>
    <w:p w14:paraId="34269101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V2G 技术路线：交流 V2G 还是直流 V2G？充放电功率等级？</w:t>
      </w:r>
    </w:p>
    <w:p w14:paraId="381DA977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设施规模：V2G 充电桩数量、充换电站数量、参与的车辆数量及类型（私家车 / 公交 / 重卡 / 物流车等）</w:t>
      </w:r>
    </w:p>
    <w:p w14:paraId="632F2608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平台系统：是否接入虚拟电厂平台？采用何种调度管理系统？</w:t>
      </w:r>
    </w:p>
    <w:p w14:paraId="0B8D600F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技术创新点：是否有特色技术（如</w:t>
      </w:r>
      <w:r>
        <w:rPr>
          <w:rFonts w:hint="eastAsia" w:ascii="Arial" w:hAnsi="Arial" w:eastAsia="等线" w:cs="Arial"/>
          <w:sz w:val="22"/>
          <w:lang w:val="en-US" w:eastAsia="zh-CN"/>
        </w:rPr>
        <w:t>信息</w:t>
      </w:r>
      <w:r>
        <w:rPr>
          <w:rFonts w:ascii="Arial" w:hAnsi="Arial" w:eastAsia="等线" w:cs="Arial"/>
          <w:sz w:val="22"/>
        </w:rPr>
        <w:t>加密、光储充一体化等）</w:t>
      </w:r>
    </w:p>
    <w:p w14:paraId="02BF91D4">
      <w:pPr>
        <w:spacing w:before="300" w:after="120" w:line="288" w:lineRule="auto"/>
        <w:ind w:left="0"/>
        <w:jc w:val="both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（三）商业模式</w:t>
      </w:r>
      <w:bookmarkEnd w:id="5"/>
    </w:p>
    <w:p w14:paraId="0104B5D8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运营模式：政府主导 / 电网主导 / 企业主导 / 平台聚合？</w:t>
      </w:r>
    </w:p>
    <w:p w14:paraId="6C0FE59C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收益来源：峰谷电价差、需求响应补贴、放电补贴、服务费等</w:t>
      </w:r>
    </w:p>
    <w:p w14:paraId="42EED3C5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收益分配机制：车主、运营商、电网等各方的分成比例</w:t>
      </w:r>
    </w:p>
    <w:p w14:paraId="103E350A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参与方式：用户如何参与（自主申请 / 运营商统一组织等）</w:t>
      </w:r>
    </w:p>
    <w:p w14:paraId="2D48E078">
      <w:pPr>
        <w:spacing w:before="300" w:after="120" w:line="288" w:lineRule="auto"/>
        <w:ind w:left="0"/>
        <w:jc w:val="both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（四）政策与价格机制</w:t>
      </w:r>
      <w:bookmarkEnd w:id="6"/>
    </w:p>
    <w:p w14:paraId="5BA7922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放电电价 / 补贴标准：具体价格机制和补贴政策</w:t>
      </w:r>
    </w:p>
    <w:p w14:paraId="056E79E1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是否出台专项工作方案：如广州已发布《工作方案（2025-2027 年）》和《2026 年工作要点》</w:t>
      </w:r>
    </w:p>
    <w:p w14:paraId="4E79777E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量化目标：V2G 桩数量目标、放电量目标、参与车辆目标等</w:t>
      </w:r>
    </w:p>
    <w:p w14:paraId="73D13FCC">
      <w:pPr>
        <w:spacing w:before="300" w:after="120" w:line="288" w:lineRule="auto"/>
        <w:ind w:left="0"/>
        <w:jc w:val="both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（五）实际进展与成效</w:t>
      </w:r>
      <w:bookmarkEnd w:id="7"/>
    </w:p>
    <w:p w14:paraId="420F24BC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已建成设施数量（如有）</w:t>
      </w:r>
    </w:p>
    <w:p w14:paraId="7677F480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累计放电量、参与车次、调用频次等运营数据</w:t>
      </w:r>
    </w:p>
    <w:p w14:paraId="2719D02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是否已产生实际收益、用户参与情况</w:t>
      </w:r>
    </w:p>
    <w:p w14:paraId="65F02B0B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可复制推广的经验或遇到的瓶颈问题</w:t>
      </w:r>
    </w:p>
    <w:p w14:paraId="3F887A09">
      <w:pPr>
        <w:spacing w:before="300" w:after="120" w:line="288" w:lineRule="auto"/>
        <w:ind w:left="0"/>
        <w:jc w:val="both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（六）信息来源</w:t>
      </w:r>
      <w:bookmarkEnd w:id="8"/>
    </w:p>
    <w:p w14:paraId="78CAF6CB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记录每条信息的来源网址、发布时间、权威性（政府官网 / 新闻媒体 / 企业公告）</w:t>
      </w:r>
    </w:p>
    <w:p w14:paraId="57A3BDC4">
      <w:pPr>
        <w:spacing w:before="320" w:after="120" w:line="288" w:lineRule="auto"/>
        <w:ind w:left="0"/>
        <w:jc w:val="both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四、调研方法与渠道</w:t>
      </w:r>
      <w:bookmarkEnd w:id="9"/>
    </w:p>
    <w:p w14:paraId="7B9CAB97">
      <w:pPr>
        <w:spacing w:before="300" w:after="120" w:line="288" w:lineRule="auto"/>
        <w:ind w:left="0"/>
        <w:jc w:val="both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优先渠道（权威性高）：</w:t>
      </w:r>
      <w:bookmarkEnd w:id="10"/>
    </w:p>
    <w:p w14:paraId="3D0C26C8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政府官网：各试点城市发改委 / 工信局 / 能源局网站，搜索 “车网互动”“V2G”“试点项目” 等关键词</w:t>
      </w:r>
    </w:p>
    <w:p w14:paraId="7D5AF9BB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国家部委文件：国家发改委、国家能源局官网已公布的通知及附件</w:t>
      </w:r>
    </w:p>
    <w:p w14:paraId="57B1115D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省级政府转载：各省政府门户网站的政策文件转载</w:t>
      </w:r>
    </w:p>
    <w:p w14:paraId="304E36CD">
      <w:pPr>
        <w:spacing w:before="300" w:after="120" w:line="288" w:lineRule="auto"/>
        <w:ind w:left="0"/>
        <w:jc w:val="both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次要渠道（信息补充）：</w:t>
      </w:r>
      <w:bookmarkEnd w:id="11"/>
    </w:p>
    <w:p w14:paraId="57E7DBAD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行业媒体：北极星售电网、中国储能网等垂直媒体</w:t>
      </w:r>
    </w:p>
    <w:p w14:paraId="628C946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新闻搜索：百度 / 搜狗搜索 “项目名称 + 进展 / 2026”</w:t>
      </w:r>
    </w:p>
    <w:p w14:paraId="2931C98B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企业官网 / 公告：项目牵头单位（电网公司、充电运营商、车企等）的官方发布</w:t>
      </w:r>
    </w:p>
    <w:p w14:paraId="1A2F220C">
      <w:pPr>
        <w:spacing w:before="320" w:after="120" w:line="288" w:lineRule="auto"/>
        <w:ind w:left="0"/>
        <w:jc w:val="both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五、时间安排</w:t>
      </w:r>
      <w:bookmarkEnd w:id="12"/>
    </w:p>
    <w:tbl>
      <w:tblPr>
        <w:tblStyle w:val="2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23"/>
        <w:gridCol w:w="2898"/>
      </w:tblGrid>
      <w:tr w14:paraId="7735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076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时间段</w:t>
            </w:r>
          </w:p>
        </w:tc>
        <w:tc>
          <w:tcPr>
            <w:tcW w:w="28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200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</w:t>
            </w:r>
          </w:p>
        </w:tc>
      </w:tr>
      <w:tr w14:paraId="03FD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AA4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:00-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15</w:t>
            </w:r>
            <w:r>
              <w:rPr>
                <w:rFonts w:ascii="Arial" w:hAnsi="Arial" w:eastAsia="等线" w:cs="Arial"/>
                <w:sz w:val="22"/>
              </w:rPr>
              <w:t>: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00</w:t>
            </w:r>
          </w:p>
        </w:tc>
        <w:tc>
          <w:tcPr>
            <w:tcW w:w="28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326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调研</w:t>
            </w:r>
          </w:p>
        </w:tc>
      </w:tr>
      <w:tr w14:paraId="6DB1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E1E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: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30</w:t>
            </w:r>
            <w:r>
              <w:rPr>
                <w:rFonts w:ascii="Arial" w:hAnsi="Arial" w:eastAsia="等线" w:cs="Arial"/>
                <w:sz w:val="22"/>
              </w:rPr>
              <w:t>-1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:00</w:t>
            </w:r>
          </w:p>
        </w:tc>
        <w:tc>
          <w:tcPr>
            <w:tcW w:w="28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254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汇总提交</w:t>
            </w:r>
          </w:p>
        </w:tc>
      </w:tr>
    </w:tbl>
    <w:p w14:paraId="29A2F259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提示：30 个项目不可能每个都找到详细数据，优先保证每个项目都有基本信息（牵头单位、项目类型、技术路线、当前状态），有详细数据的重点标注。</w:t>
      </w:r>
    </w:p>
    <w:p w14:paraId="08495EAE">
      <w:pPr>
        <w:spacing w:before="320" w:after="120" w:line="288" w:lineRule="auto"/>
        <w:ind w:left="0"/>
        <w:jc w:val="both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六、成果提交格式</w:t>
      </w:r>
      <w:bookmarkEnd w:id="13"/>
    </w:p>
    <w:p w14:paraId="3476162B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每人提交一份 Excel（或表格），包含以下列：</w:t>
      </w:r>
    </w:p>
    <w:p w14:paraId="18405E1B">
      <w:pPr>
        <w:spacing w:before="120" w:after="120" w:line="288" w:lineRule="auto"/>
        <w:ind w:left="0"/>
        <w:jc w:val="both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序号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项目名称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所在地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详细地址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牵头单位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项目类型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技术路线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设施规模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商业模式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放电电价 / 补贴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当前进展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关键数据</w:t>
      </w:r>
      <w:r>
        <w:rPr>
          <w:rFonts w:ascii="Arial" w:hAnsi="Arial" w:eastAsia="等线" w:cs="Arial"/>
          <w:sz w:val="22"/>
        </w:rPr>
        <w:tab/>
      </w:r>
      <w:r>
        <w:rPr>
          <w:rFonts w:ascii="Arial" w:hAnsi="Arial" w:eastAsia="等线" w:cs="Arial"/>
          <w:sz w:val="22"/>
        </w:rPr>
        <w:t>信息来源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Excel统一命名：文件命名统一：</w:t>
      </w: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sz w:val="22"/>
          <w:lang w:val="en-US" w:eastAsia="zh-CN"/>
        </w:rPr>
        <w:t>省份1&amp;省份2...</w:t>
      </w:r>
      <w:r>
        <w:rPr>
          <w:rFonts w:ascii="Arial" w:hAnsi="Arial" w:eastAsia="等线" w:cs="Arial"/>
          <w:sz w:val="22"/>
        </w:rPr>
        <w:t>]</w:t>
      </w:r>
      <w:r>
        <w:rPr>
          <w:rFonts w:hint="eastAsia" w:ascii="Arial" w:hAnsi="Arial" w:eastAsia="等线" w:cs="Arial"/>
          <w:sz w:val="22"/>
          <w:lang w:val="en-US" w:eastAsia="zh-CN"/>
        </w:rPr>
        <w:t>++20260720</w:t>
      </w:r>
      <w:r>
        <w:rPr>
          <w:rFonts w:ascii="Arial" w:hAnsi="Arial" w:eastAsia="等线" w:cs="Arial"/>
          <w:sz w:val="22"/>
        </w:rPr>
        <w:br w:type="textWrapping"/>
      </w:r>
    </w:p>
    <w:p w14:paraId="738B75A5">
      <w:pPr>
        <w:spacing w:before="120" w:after="120" w:line="288" w:lineRule="auto"/>
        <w:ind w:left="0"/>
        <w:jc w:val="both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每个单独项目</w:t>
      </w:r>
      <w:r>
        <w:rPr>
          <w:rFonts w:ascii="Arial" w:hAnsi="Arial" w:eastAsia="等线" w:cs="Arial"/>
          <w:sz w:val="22"/>
        </w:rPr>
        <w:t>另附一份简要</w:t>
      </w:r>
      <w:r>
        <w:rPr>
          <w:rFonts w:hint="eastAsia" w:ascii="Arial" w:hAnsi="Arial" w:eastAsia="等线" w:cs="Arial"/>
          <w:sz w:val="22"/>
          <w:lang w:val="en-US" w:eastAsia="zh-CN"/>
        </w:rPr>
        <w:t>项目</w:t>
      </w:r>
      <w:r>
        <w:rPr>
          <w:rFonts w:ascii="Arial" w:hAnsi="Arial" w:eastAsia="等线" w:cs="Arial"/>
          <w:sz w:val="22"/>
        </w:rPr>
        <w:t>总结（300-500 字）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总结文件命名统一：</w:t>
      </w: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sz w:val="22"/>
          <w:lang w:val="en-US" w:eastAsia="zh-CN"/>
        </w:rPr>
        <w:t>省份</w:t>
      </w:r>
      <w:r>
        <w:rPr>
          <w:rFonts w:ascii="Arial" w:hAnsi="Arial" w:eastAsia="等线" w:cs="Arial"/>
          <w:sz w:val="22"/>
        </w:rPr>
        <w:t>]</w:t>
      </w:r>
      <w:r>
        <w:rPr>
          <w:rFonts w:hint="eastAsia" w:ascii="Arial" w:hAnsi="Arial" w:eastAsia="等线" w:cs="Arial"/>
          <w:sz w:val="22"/>
          <w:lang w:val="en-US" w:eastAsia="zh-CN"/>
        </w:rPr>
        <w:t>+</w:t>
      </w:r>
      <w:r>
        <w:rPr>
          <w:rFonts w:ascii="Arial" w:hAnsi="Arial" w:eastAsia="等线" w:cs="Arial"/>
          <w:sz w:val="22"/>
        </w:rPr>
        <w:t xml:space="preserve"> [项目名称] </w:t>
      </w:r>
      <w:r>
        <w:rPr>
          <w:rFonts w:hint="eastAsia" w:ascii="Arial" w:hAnsi="Arial" w:eastAsia="等线" w:cs="Arial"/>
          <w:sz w:val="22"/>
          <w:lang w:val="en-US" w:eastAsia="zh-CN"/>
        </w:rPr>
        <w:t>+20260720</w:t>
      </w:r>
      <w:bookmarkStart w:id="16" w:name="_GoBack"/>
      <w:bookmarkEnd w:id="16"/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每个项目一个单独的简要PPT（不要求排版和工整，现把内容罗列清晰）介绍项目材料，PPT文件命名统一：</w:t>
      </w: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sz w:val="22"/>
          <w:lang w:val="en-US" w:eastAsia="zh-CN"/>
        </w:rPr>
        <w:t>省份</w:t>
      </w:r>
      <w:r>
        <w:rPr>
          <w:rFonts w:ascii="Arial" w:hAnsi="Arial" w:eastAsia="等线" w:cs="Arial"/>
          <w:sz w:val="22"/>
        </w:rPr>
        <w:t>]</w:t>
      </w:r>
      <w:r>
        <w:rPr>
          <w:rFonts w:hint="eastAsia" w:ascii="Arial" w:hAnsi="Arial" w:eastAsia="等线" w:cs="Arial"/>
          <w:sz w:val="22"/>
          <w:lang w:val="en-US" w:eastAsia="zh-CN"/>
        </w:rPr>
        <w:t>+</w:t>
      </w:r>
      <w:r>
        <w:rPr>
          <w:rFonts w:ascii="Arial" w:hAnsi="Arial" w:eastAsia="等线" w:cs="Arial"/>
          <w:sz w:val="22"/>
        </w:rPr>
        <w:t xml:space="preserve"> [项目名称] </w:t>
      </w:r>
      <w:r>
        <w:rPr>
          <w:rFonts w:hint="eastAsia" w:ascii="Arial" w:hAnsi="Arial" w:eastAsia="等线" w:cs="Arial"/>
          <w:sz w:val="22"/>
          <w:lang w:val="en-US" w:eastAsia="zh-CN"/>
        </w:rPr>
        <w:t>+20260720</w:t>
      </w:r>
      <w:r>
        <w:rPr>
          <w:rFonts w:ascii="Arial" w:hAnsi="Arial" w:eastAsia="等线" w:cs="Arial"/>
          <w:sz w:val="22"/>
        </w:rPr>
        <w:br w:type="textWrapping"/>
      </w:r>
    </w:p>
    <w:p w14:paraId="75C68D89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汇总要求：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主要模式分类</w:t>
      </w:r>
    </w:p>
    <w:p w14:paraId="55C44169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发现的共性特点或规律</w:t>
      </w:r>
    </w:p>
    <w:p w14:paraId="34188D2D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值得重点关注的标杆项目（1-2 个）</w:t>
      </w:r>
    </w:p>
    <w:p w14:paraId="52BB3103">
      <w:pPr>
        <w:spacing w:before="320" w:after="120" w:line="288" w:lineRule="auto"/>
        <w:ind w:left="0"/>
        <w:jc w:val="both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七、注意事项</w:t>
      </w:r>
      <w:bookmarkEnd w:id="14"/>
    </w:p>
    <w:p w14:paraId="58DFBCC0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注重权威性：优先采用政府官网、国家能源局等官方渠道信息，商业网站信息需交叉验证</w:t>
      </w:r>
    </w:p>
    <w:p w14:paraId="6C05242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标注时效性：每条信息注明发布时间，优先采用 2025 年下半年至 2026 年的最新信息</w:t>
      </w:r>
    </w:p>
    <w:p w14:paraId="4C480FEE">
      <w:pPr>
        <w:spacing w:before="120" w:after="120" w:line="288" w:lineRule="auto"/>
        <w:ind w:left="0"/>
        <w:jc w:val="both"/>
      </w:pPr>
      <w:r>
        <w:rPr>
          <w:rFonts w:hint="eastAsia" w:ascii="Arial" w:hAnsi="Arial" w:eastAsia="等线" w:cs="Arial"/>
          <w:sz w:val="22"/>
          <w:lang w:val="en-US" w:eastAsia="zh-CN"/>
        </w:rPr>
        <w:t>项目特色</w:t>
      </w:r>
      <w:r>
        <w:rPr>
          <w:rFonts w:ascii="Arial" w:hAnsi="Arial" w:eastAsia="等线" w:cs="Arial"/>
          <w:sz w:val="22"/>
        </w:rPr>
        <w:t>收集到基本信息 + 1-2 个亮点数据即可，不必追求面面俱到</w:t>
      </w:r>
    </w:p>
    <w:p w14:paraId="2EE26A30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关注差异化：重点记录各项目与其他项目的不同之处（独特技术、特殊模式、特色场景）</w:t>
      </w:r>
    </w:p>
    <w:p w14:paraId="2D937BD9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记录信息缺口：确实查不到信息的项目，注明 “未找到公开信息”，不要编造</w:t>
      </w:r>
    </w:p>
    <w:p w14:paraId="042671DA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统一命名规范：搜索时统一使用关键词组合 ——“[项目名称] + V2G / 车网互动 + 试点”</w:t>
      </w:r>
    </w:p>
    <w:p w14:paraId="0D08E118">
      <w:pPr>
        <w:spacing w:before="320" w:after="120" w:line="288" w:lineRule="auto"/>
        <w:ind w:left="0"/>
        <w:jc w:val="both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八、参考信息源（供通用参考）</w:t>
      </w:r>
      <w:bookmarkEnd w:id="15"/>
    </w:p>
    <w:p w14:paraId="301657C9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国家发改委通知原文：发改办能源〔2025〕241 号</w:t>
      </w:r>
    </w:p>
    <w:p w14:paraId="25B128E4">
      <w:pPr>
        <w:spacing w:before="120" w:after="120" w:line="288" w:lineRule="auto"/>
        <w:ind w:left="0"/>
        <w:jc w:val="both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国家能源局公布页面：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"https://www.ndrc.gov.cn/xxgk/zcfb/tz/202504/t20250402_1396958.html"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【关于公布首批车网互动规模化应用试点的通知(发改办能源〔2025〕241号)】-国家发展和改革委员会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A51B7F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广州市工作方案：穗工信函〔2025〕255 号</w:t>
      </w:r>
    </w:p>
    <w:p w14:paraId="1662CFC5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>行业综述：北极星售电网、中国储能网等</w:t>
      </w:r>
    </w:p>
    <w:p w14:paraId="18E75FC0">
      <w:pPr>
        <w:spacing w:before="120" w:after="120" w:line="288" w:lineRule="auto"/>
        <w:ind w:left="0"/>
        <w:jc w:val="both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>最后提醒</w:t>
      </w:r>
      <w:r>
        <w:rPr>
          <w:rFonts w:ascii="Arial" w:hAnsi="Arial" w:eastAsia="等线" w:cs="Arial"/>
          <w:sz w:val="22"/>
        </w:rPr>
        <w:t>：本次调研的核心目的是了解别人做了什么、怎么做的，为后续方案设计提供参考。质量优先于数量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0D2F3B49">
      <w:pPr>
        <w:spacing w:before="120" w:after="120" w:line="288" w:lineRule="auto"/>
        <w:ind w:left="0"/>
        <w:jc w:val="both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8F5B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377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68B4FF2"/>
    <w:rsid w:val="4CF03E01"/>
    <w:rsid w:val="50153078"/>
    <w:rsid w:val="5C0B43F7"/>
    <w:rsid w:val="71121CE9"/>
    <w:rsid w:val="79C30E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1749</Words>
  <Characters>1875</Characters>
  <TotalTime>2</TotalTime>
  <ScaleCrop>false</ScaleCrop>
  <LinksUpToDate>false</LinksUpToDate>
  <CharactersWithSpaces>1974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2026-07-20T01:32:00Z</dcterms:created>
  <dc:creator>Apache POI</dc:creator>
  <cp:lastModifiedBy>ZLS</cp:lastModifiedBy>
  <dcterms:modified xsi:type="dcterms:W3CDTF">2026-07-20T01:53:30Z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{"Label":"1","ContentProducer":"001191110102MACQD9K64010000","ProduceID":"7664417009548463329","ReservedCode1":"","ContentPropagator":"","PropagateID":"","ReservedCode2":""}</vt:lpwstr>
  </property>
  <property fmtid="{D5CDD505-2E9C-101B-9397-08002B2CF9AE}" pid="3" name="KSOTemplateDocerSaveRecord">
    <vt:lpwstr>eyJoZGlkIjoiY2EwYzQxMzkwMjcyMTFjZDQ4ZjM5NWM2ZWM0OTI5NmIiLCJ1c2VySWQiOiIzMjEyNDY5MzUifQ==</vt:lpwstr>
  </property>
  <property fmtid="{D5CDD505-2E9C-101B-9397-08002B2CF9AE}" pid="4" name="KSOProductBuildVer">
    <vt:lpwstr>2052-12.1.0.26884</vt:lpwstr>
  </property>
  <property fmtid="{D5CDD505-2E9C-101B-9397-08002B2CF9AE}" pid="5" name="ICV">
    <vt:lpwstr>43C4D25BA44E46DC900CEB3AF7F63891_12</vt:lpwstr>
  </property>
</Properties>
</file>