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46F9D">
      <w:pPr>
        <w:spacing w:before="480" w:after="480" w:line="288" w:lineRule="auto"/>
        <w:ind w:left="0"/>
        <w:jc w:val="center"/>
      </w:pPr>
      <w:bookmarkStart w:id="5" w:name="_GoBack"/>
      <w:bookmarkEnd w:id="5"/>
      <w:r>
        <w:rPr>
          <w:rFonts w:ascii="Arial" w:hAnsi="Arial" w:eastAsia="等线" w:cs="Arial"/>
          <w:b/>
          <w:sz w:val="52"/>
        </w:rPr>
        <w:t>非洲移动储能和户用储能深度市场调研计划</w:t>
      </w:r>
    </w:p>
    <w:p w14:paraId="70D4A195">
      <w:pPr>
        <w:spacing w:before="120" w:after="120" w:line="288" w:lineRule="auto"/>
        <w:ind w:left="0"/>
        <w:jc w:val="both"/>
      </w:pPr>
      <w:r>
        <w:rPr>
          <w:rFonts w:ascii="Arial" w:hAnsi="Arial" w:eastAsia="等线" w:cs="Arial"/>
          <w:sz w:val="22"/>
        </w:rPr>
        <w:t>核心目标：</w:t>
      </w:r>
    </w:p>
    <w:p w14:paraId="28AE563E">
      <w:pPr>
        <w:spacing w:before="120" w:after="120" w:line="288" w:lineRule="auto"/>
        <w:ind w:left="0"/>
        <w:jc w:val="both"/>
      </w:pPr>
      <w:r>
        <w:rPr>
          <w:rFonts w:ascii="Arial" w:hAnsi="Arial" w:eastAsia="等线" w:cs="Arial"/>
          <w:sz w:val="22"/>
        </w:rPr>
        <w:t>通过调研非洲重点国家</w:t>
      </w:r>
      <w:r>
        <w:rPr>
          <w:rFonts w:hint="eastAsia" w:ascii="Arial" w:hAnsi="Arial" w:eastAsia="等线" w:cs="Arial"/>
          <w:sz w:val="22"/>
          <w:lang w:eastAsia="zh-CN"/>
        </w:rPr>
        <w:t>（以</w:t>
      </w:r>
      <w:r>
        <w:rPr>
          <w:rFonts w:ascii="Arial" w:hAnsi="Arial" w:eastAsia="等线" w:cs="Arial"/>
          <w:b/>
          <w:bCs/>
          <w:sz w:val="28"/>
          <w:szCs w:val="28"/>
        </w:rPr>
        <w:t>尼日利亚</w:t>
      </w:r>
      <w:r>
        <w:rPr>
          <w:rFonts w:ascii="Arial" w:hAnsi="Arial" w:eastAsia="等线" w:cs="Arial"/>
          <w:sz w:val="22"/>
        </w:rPr>
        <w:t>为首，摩洛哥、肯尼亚等为辅）的电力供应状况、电价政策、居民用电模式、可再生能源政策及经济发展水平，量化评估移动储能和户用储能在离网及弱电网场景下的市场需求与经济价值，明确商业闭环，从而指导产品的精准定义（容量、功能、价格），并为公司在非洲业务的拓展提供基础数据和战略建议。</w:t>
      </w:r>
    </w:p>
    <w:p w14:paraId="31717756">
      <w:pPr>
        <w:spacing w:before="120" w:after="120" w:line="288" w:lineRule="auto"/>
        <w:ind w:left="0"/>
        <w:jc w:val="both"/>
      </w:pPr>
      <w:r>
        <w:rPr>
          <w:rFonts w:ascii="Arial" w:hAnsi="Arial" w:eastAsia="等线" w:cs="Arial"/>
          <w:sz w:val="22"/>
        </w:rPr>
        <w:t>调研时间： 2026年6月10日 - 2026年7月31日</w:t>
      </w:r>
    </w:p>
    <w:p w14:paraId="5CE8CB7D">
      <w:pPr>
        <w:spacing w:before="120" w:after="120" w:line="288" w:lineRule="auto"/>
        <w:ind w:left="0"/>
        <w:jc w:val="both"/>
      </w:pPr>
      <w:r>
        <w:rPr>
          <w:rFonts w:ascii="Arial" w:hAnsi="Arial" w:eastAsia="等线" w:cs="Arial"/>
          <w:sz w:val="22"/>
        </w:rPr>
        <w:t>调研负责人： 事业部负责人 ------ 总体指导与协调</w:t>
      </w:r>
    </w:p>
    <w:p w14:paraId="6263E9FF">
      <w:pPr>
        <w:spacing w:before="120" w:after="120" w:line="288" w:lineRule="auto"/>
        <w:ind w:left="0"/>
        <w:jc w:val="both"/>
      </w:pPr>
      <w:r>
        <w:rPr>
          <w:rFonts w:ascii="Arial" w:hAnsi="Arial" w:eastAsia="等线" w:cs="Arial"/>
          <w:sz w:val="22"/>
        </w:rPr>
        <w:t>执行人员： 张文奕、黄湘雨（具体分工由两人协商确定）</w:t>
      </w:r>
    </w:p>
    <w:p w14:paraId="11E88168">
      <w:pPr>
        <w:spacing w:before="120" w:after="120" w:line="288" w:lineRule="auto"/>
        <w:ind w:left="0"/>
        <w:jc w:val="both"/>
      </w:pPr>
      <w:r>
        <w:rPr>
          <w:rFonts w:ascii="Arial" w:hAnsi="Arial" w:eastAsia="等线" w:cs="Arial"/>
          <w:sz w:val="22"/>
        </w:rPr>
        <w:t>协同人员： 产品经理（户储</w:t>
      </w:r>
      <w:r>
        <w:rPr>
          <w:rFonts w:hint="eastAsia" w:ascii="Arial" w:hAnsi="Arial" w:eastAsia="等线" w:cs="Arial"/>
          <w:sz w:val="22"/>
          <w:lang w:eastAsia="zh-CN"/>
        </w:rPr>
        <w:t>，</w:t>
      </w:r>
      <w:r>
        <w:rPr>
          <w:rFonts w:hint="eastAsia" w:ascii="Arial" w:hAnsi="Arial" w:eastAsia="等线" w:cs="Arial"/>
          <w:sz w:val="22"/>
          <w:lang w:val="en-US" w:eastAsia="zh-CN"/>
        </w:rPr>
        <w:t>待入职</w:t>
      </w:r>
      <w:r>
        <w:rPr>
          <w:rFonts w:ascii="Arial" w:hAnsi="Arial" w:eastAsia="等线" w:cs="Arial"/>
          <w:sz w:val="22"/>
        </w:rPr>
        <w:t>）、市场</w:t>
      </w:r>
      <w:r>
        <w:rPr>
          <w:rFonts w:hint="eastAsia" w:ascii="Arial" w:hAnsi="Arial" w:eastAsia="等线" w:cs="Arial"/>
          <w:sz w:val="22"/>
          <w:lang w:val="en-US" w:eastAsia="zh-CN"/>
        </w:rPr>
        <w:t>渠道</w:t>
      </w:r>
      <w:r>
        <w:rPr>
          <w:rFonts w:ascii="Arial" w:hAnsi="Arial" w:eastAsia="等线" w:cs="Arial"/>
          <w:sz w:val="22"/>
        </w:rPr>
        <w:t>经理（</w:t>
      </w:r>
      <w:r>
        <w:rPr>
          <w:rFonts w:hint="eastAsia" w:ascii="Arial" w:hAnsi="Arial" w:eastAsia="等线" w:cs="Arial"/>
          <w:sz w:val="22"/>
          <w:lang w:val="en-US" w:eastAsia="zh-CN"/>
        </w:rPr>
        <w:t>西非，待入职</w:t>
      </w:r>
      <w:r>
        <w:rPr>
          <w:rFonts w:ascii="Arial" w:hAnsi="Arial" w:eastAsia="等线" w:cs="Arial"/>
          <w:sz w:val="22"/>
        </w:rPr>
        <w:t>）</w:t>
      </w:r>
    </w:p>
    <w:p w14:paraId="10F4B06C">
      <w:pPr>
        <w:spacing w:before="120" w:after="120" w:line="288" w:lineRule="auto"/>
        <w:ind w:left="0"/>
        <w:jc w:val="both"/>
        <w:rPr>
          <w:b/>
          <w:bCs/>
          <w:sz w:val="22"/>
          <w:szCs w:val="24"/>
        </w:rPr>
      </w:pPr>
      <w:r>
        <w:rPr>
          <w:rFonts w:ascii="Arial" w:hAnsi="Arial" w:eastAsia="等线" w:cs="Arial"/>
          <w:b/>
          <w:bCs/>
          <w:sz w:val="24"/>
          <w:szCs w:val="24"/>
        </w:rPr>
        <w:t>前置竞品分析任务：</w:t>
      </w:r>
    </w:p>
    <w:p w14:paraId="1B22E972">
      <w:pPr>
        <w:numPr>
          <w:ilvl w:val="0"/>
          <w:numId w:val="1"/>
        </w:numPr>
        <w:spacing w:before="120" w:after="120" w:line="288" w:lineRule="auto"/>
        <w:ind w:left="0"/>
        <w:jc w:val="both"/>
        <w:rPr>
          <w:b/>
          <w:bCs/>
          <w:sz w:val="22"/>
          <w:szCs w:val="24"/>
        </w:rPr>
      </w:pPr>
      <w:r>
        <w:rPr>
          <w:rFonts w:ascii="Arial" w:hAnsi="Arial" w:eastAsia="等线" w:cs="Arial"/>
          <w:b/>
          <w:bCs/>
          <w:sz w:val="24"/>
          <w:szCs w:val="24"/>
        </w:rPr>
        <w:t>非洲移动储能产品竞品</w:t>
      </w:r>
      <w:r>
        <w:rPr>
          <w:rFonts w:hint="eastAsia" w:ascii="Arial" w:hAnsi="Arial" w:eastAsia="等线" w:cs="Arial"/>
          <w:b/>
          <w:bCs/>
          <w:sz w:val="24"/>
          <w:szCs w:val="24"/>
          <w:lang w:eastAsia="zh-CN"/>
        </w:rPr>
        <w:t>（</w:t>
      </w:r>
      <w:r>
        <w:rPr>
          <w:rFonts w:hint="eastAsia" w:ascii="Arial" w:hAnsi="Arial" w:eastAsia="等线" w:cs="Arial"/>
          <w:b/>
          <w:bCs/>
          <w:sz w:val="24"/>
          <w:szCs w:val="24"/>
          <w:lang w:val="en-US" w:eastAsia="zh-CN"/>
        </w:rPr>
        <w:t>重点314Ah电芯，1度电或者2度电的移动电源/储能</w:t>
      </w:r>
      <w:r>
        <w:rPr>
          <w:rFonts w:hint="eastAsia" w:ascii="Arial" w:hAnsi="Arial" w:eastAsia="等线" w:cs="Arial"/>
          <w:b/>
          <w:bCs/>
          <w:sz w:val="24"/>
          <w:szCs w:val="24"/>
          <w:lang w:eastAsia="zh-CN"/>
        </w:rPr>
        <w:t>）</w:t>
      </w:r>
      <w:r>
        <w:rPr>
          <w:rFonts w:ascii="Arial" w:hAnsi="Arial" w:eastAsia="等线" w:cs="Arial"/>
          <w:b/>
          <w:bCs/>
          <w:sz w:val="24"/>
          <w:szCs w:val="24"/>
        </w:rPr>
        <w:t>分析：由王正午执行</w:t>
      </w:r>
      <w:r>
        <w:rPr>
          <w:rFonts w:hint="eastAsia" w:ascii="Arial" w:hAnsi="Arial" w:eastAsia="等线" w:cs="Arial"/>
          <w:b/>
          <w:bCs/>
          <w:sz w:val="24"/>
          <w:szCs w:val="24"/>
          <w:lang w:eastAsia="zh-CN"/>
        </w:rPr>
        <w:t>，</w:t>
      </w:r>
      <w:r>
        <w:rPr>
          <w:rFonts w:hint="eastAsia" w:ascii="Arial" w:hAnsi="Arial" w:eastAsia="等线" w:cs="Arial"/>
          <w:b/>
          <w:bCs/>
          <w:sz w:val="24"/>
          <w:szCs w:val="24"/>
          <w:lang w:val="en-US" w:eastAsia="zh-CN"/>
        </w:rPr>
        <w:t>苟睿提供数据爬取的支持</w:t>
      </w:r>
      <w:r>
        <w:rPr>
          <w:rFonts w:ascii="Arial" w:hAnsi="Arial" w:eastAsia="等线" w:cs="Arial"/>
          <w:b/>
          <w:bCs/>
          <w:sz w:val="24"/>
          <w:szCs w:val="24"/>
        </w:rPr>
        <w:t>，6月10日启动，6月14日前提交分析报告。</w:t>
      </w:r>
    </w:p>
    <w:p w14:paraId="434E211F">
      <w:pPr>
        <w:numPr>
          <w:ilvl w:val="0"/>
          <w:numId w:val="2"/>
        </w:numPr>
        <w:spacing w:before="120" w:after="120" w:line="288" w:lineRule="auto"/>
        <w:ind w:left="0"/>
        <w:jc w:val="both"/>
        <w:rPr>
          <w:b/>
          <w:bCs/>
          <w:sz w:val="22"/>
          <w:szCs w:val="24"/>
        </w:rPr>
      </w:pPr>
      <w:r>
        <w:rPr>
          <w:rFonts w:ascii="Arial" w:hAnsi="Arial" w:eastAsia="等线" w:cs="Arial"/>
          <w:b/>
          <w:bCs/>
          <w:sz w:val="24"/>
          <w:szCs w:val="24"/>
        </w:rPr>
        <w:t>非洲户用储能产品竞品分析：由苟睿执行，6月10日启动，6月18日前提交分析报告。</w:t>
      </w:r>
    </w:p>
    <w:p w14:paraId="0D3A9F1A">
      <w:pPr>
        <w:pBdr>
          <w:bottom w:val="single" w:color="DEE0E3" w:sz="2" w:space="0"/>
          <w:between w:val="single" w:color="DEE0E3" w:sz="2" w:space="0"/>
        </w:pBdr>
        <w:spacing w:before="120" w:after="120" w:line="288" w:lineRule="auto"/>
        <w:ind w:left="0"/>
        <w:jc w:val="both"/>
      </w:pPr>
    </w:p>
    <w:p w14:paraId="1B6110F8">
      <w:pPr>
        <w:spacing w:before="300" w:after="120" w:line="288" w:lineRule="auto"/>
        <w:ind w:left="0"/>
        <w:jc w:val="both"/>
        <w:outlineLvl w:val="2"/>
      </w:pPr>
      <w:bookmarkStart w:id="0" w:name="heading_0"/>
      <w:r>
        <w:rPr>
          <w:rFonts w:ascii="Arial" w:hAnsi="Arial" w:eastAsia="等线" w:cs="Arial"/>
          <w:b/>
          <w:sz w:val="30"/>
        </w:rPr>
        <w:t>第一阶段：基础数据收集与宏观环境分析（6月10日 - 6月30日）</w:t>
      </w:r>
      <w:bookmarkEnd w:id="0"/>
    </w:p>
    <w:p w14:paraId="78D40E63">
      <w:pPr>
        <w:spacing w:before="120" w:after="120" w:line="288" w:lineRule="auto"/>
        <w:ind w:left="0"/>
        <w:jc w:val="both"/>
      </w:pPr>
      <w:r>
        <w:rPr>
          <w:rFonts w:ascii="Arial" w:hAnsi="Arial" w:eastAsia="等线" w:cs="Arial"/>
          <w:sz w:val="22"/>
        </w:rPr>
        <w:t>核心任务：</w:t>
      </w:r>
    </w:p>
    <w:p w14:paraId="5CB37378">
      <w:pPr>
        <w:spacing w:before="120" w:after="120" w:line="288" w:lineRule="auto"/>
        <w:ind w:left="0"/>
        <w:jc w:val="both"/>
      </w:pPr>
      <w:r>
        <w:rPr>
          <w:rFonts w:ascii="Arial" w:hAnsi="Arial" w:eastAsia="等线" w:cs="Arial"/>
          <w:sz w:val="22"/>
        </w:rPr>
        <w:t>建立非洲重点国家的电力、经济、政策与用户用电行为的量化数据库，为后续的经济性分析奠定坚实基础。</w:t>
      </w:r>
    </w:p>
    <w:tbl>
      <w:tblPr>
        <w:tblStyle w:val="2"/>
        <w:tblW w:w="101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22"/>
        <w:gridCol w:w="2270"/>
        <w:gridCol w:w="2270"/>
        <w:gridCol w:w="2470"/>
        <w:gridCol w:w="2027"/>
      </w:tblGrid>
      <w:tr w14:paraId="729E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122" w:type="dxa"/>
            <w:shd w:val="clear" w:color="auto" w:fill="auto"/>
            <w:vAlign w:val="center"/>
          </w:tcPr>
          <w:p w14:paraId="6DD0EF28">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时间节点</w:t>
            </w:r>
          </w:p>
        </w:tc>
        <w:tc>
          <w:tcPr>
            <w:tcW w:w="2270" w:type="dxa"/>
            <w:shd w:val="clear" w:color="auto" w:fill="auto"/>
            <w:vAlign w:val="center"/>
          </w:tcPr>
          <w:p w14:paraId="1E0CB879">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调研任务</w:t>
            </w:r>
          </w:p>
        </w:tc>
        <w:tc>
          <w:tcPr>
            <w:tcW w:w="2270" w:type="dxa"/>
            <w:shd w:val="clear" w:color="auto" w:fill="auto"/>
            <w:vAlign w:val="center"/>
          </w:tcPr>
          <w:p w14:paraId="61CAEB65">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执行分工</w:t>
            </w:r>
          </w:p>
        </w:tc>
        <w:tc>
          <w:tcPr>
            <w:tcW w:w="2470" w:type="dxa"/>
            <w:shd w:val="clear" w:color="auto" w:fill="auto"/>
            <w:vAlign w:val="center"/>
          </w:tcPr>
          <w:p w14:paraId="0893BA1C">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交付物及要求</w:t>
            </w:r>
          </w:p>
        </w:tc>
        <w:tc>
          <w:tcPr>
            <w:tcW w:w="2027" w:type="dxa"/>
            <w:shd w:val="clear" w:color="auto" w:fill="auto"/>
            <w:vAlign w:val="center"/>
          </w:tcPr>
          <w:p w14:paraId="7F0A2654">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交付物目的</w:t>
            </w:r>
          </w:p>
        </w:tc>
      </w:tr>
      <w:tr w14:paraId="0CFA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22" w:type="dxa"/>
            <w:shd w:val="clear" w:color="auto" w:fill="auto"/>
            <w:vAlign w:val="center"/>
          </w:tcPr>
          <w:p w14:paraId="13F27FBA">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bCs/>
                <w:i w:val="0"/>
                <w:iCs w:val="0"/>
                <w:color w:val="000000"/>
                <w:sz w:val="20"/>
                <w:szCs w:val="20"/>
              </w:rPr>
            </w:pPr>
            <w:r>
              <w:rPr>
                <w:rFonts w:hint="eastAsia" w:ascii="等线" w:hAnsi="等线" w:eastAsia="等线" w:cs="等线"/>
                <w:b/>
                <w:bCs/>
                <w:i w:val="0"/>
                <w:iCs w:val="0"/>
                <w:color w:val="000000"/>
                <w:kern w:val="0"/>
                <w:sz w:val="20"/>
                <w:szCs w:val="20"/>
                <w:lang w:val="en-US" w:eastAsia="zh-CN" w:bidi="ar"/>
              </w:rPr>
              <w:t>6.10 - 6.19</w:t>
            </w:r>
          </w:p>
        </w:tc>
        <w:tc>
          <w:tcPr>
            <w:tcW w:w="2270" w:type="dxa"/>
            <w:shd w:val="clear" w:color="auto" w:fill="auto"/>
            <w:vAlign w:val="center"/>
          </w:tcPr>
          <w:p w14:paraId="4D63300B">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非洲重点国别电力与能源政策全景收集1.电力供应状况：收集</w:t>
            </w:r>
            <w:r>
              <w:rPr>
                <w:rFonts w:hint="eastAsia" w:ascii="等线" w:hAnsi="等线" w:eastAsia="等线" w:cs="等线"/>
                <w:b/>
                <w:bCs/>
                <w:i w:val="0"/>
                <w:iCs w:val="0"/>
                <w:color w:val="000000"/>
                <w:kern w:val="0"/>
                <w:sz w:val="20"/>
                <w:szCs w:val="20"/>
                <w:lang w:val="en-US" w:eastAsia="zh-CN" w:bidi="ar"/>
              </w:rPr>
              <w:t>尼日利亚</w:t>
            </w:r>
            <w:r>
              <w:rPr>
                <w:rFonts w:hint="eastAsia" w:ascii="等线" w:hAnsi="等线" w:eastAsia="等线" w:cs="等线"/>
                <w:b w:val="0"/>
                <w:bCs w:val="0"/>
                <w:i w:val="0"/>
                <w:iCs w:val="0"/>
                <w:color w:val="000000"/>
                <w:kern w:val="0"/>
                <w:sz w:val="20"/>
                <w:szCs w:val="20"/>
                <w:lang w:val="en-US" w:eastAsia="zh-CN" w:bidi="ar"/>
              </w:rPr>
              <w:t>、摩洛哥、肯尼亚等国的电网覆盖率、平均通电时长、停电频率（日均/周均）、电压稳定性数据。</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电价与补贴：收集各国居民电价体系（如有）、工业电价、柴油发电机发电成本。调研政府对可再生能源（太阳能）的进口关税减免、增值税豁免等激励政策。</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燃油成本：收集各国汽油、柴油的零售价格及供应稳定性。</w:t>
            </w:r>
          </w:p>
        </w:tc>
        <w:tc>
          <w:tcPr>
            <w:tcW w:w="2270" w:type="dxa"/>
            <w:shd w:val="clear" w:color="auto" w:fill="auto"/>
            <w:vAlign w:val="center"/>
          </w:tcPr>
          <w:p w14:paraId="0A17AEFB">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分工自行协商，建议：</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黄湘雨（主）：负责尼日利亚、肯尼亚的数据收集与结构化整理。</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张文奕（主）：负责摩洛哥及其他西非国家（如加纳、科特迪瓦）的数据收集，并整合各国政策信息。</w:t>
            </w:r>
          </w:p>
        </w:tc>
        <w:tc>
          <w:tcPr>
            <w:tcW w:w="2470" w:type="dxa"/>
            <w:shd w:val="clear" w:color="auto" w:fill="auto"/>
            <w:vAlign w:val="center"/>
          </w:tcPr>
          <w:p w14:paraId="3DD17901">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交付物1：《非洲重点国家电力与能源政策白皮书》（Excel+Word+PPT）</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包含</w:t>
            </w:r>
            <w:r>
              <w:rPr>
                <w:rFonts w:hint="eastAsia" w:ascii="等线" w:hAnsi="等线" w:eastAsia="等线" w:cs="等线"/>
                <w:b/>
                <w:bCs/>
                <w:i w:val="0"/>
                <w:iCs w:val="0"/>
                <w:color w:val="000000"/>
                <w:kern w:val="0"/>
                <w:sz w:val="20"/>
                <w:szCs w:val="21"/>
                <w:lang w:val="en-US" w:eastAsia="zh-CN" w:bidi="ar"/>
              </w:rPr>
              <w:t>尼日利亚</w:t>
            </w:r>
            <w:r>
              <w:rPr>
                <w:rFonts w:hint="eastAsia" w:ascii="等线" w:hAnsi="等线" w:eastAsia="等线" w:cs="等线"/>
                <w:b w:val="0"/>
                <w:bCs w:val="0"/>
                <w:i w:val="0"/>
                <w:iCs w:val="0"/>
                <w:color w:val="000000"/>
                <w:kern w:val="0"/>
                <w:sz w:val="20"/>
                <w:szCs w:val="20"/>
                <w:lang w:val="en-US" w:eastAsia="zh-CN" w:bidi="ar"/>
              </w:rPr>
              <w:t>、摩洛哥、肯尼亚、加纳等国。</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数据需注明来源（官方报告、国际能源署、世界银行、本地新闻等），附上链接。</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需形成对比表格，清晰展示各国电网稳定性、综合电价、燃油成本及光储政策。</w:t>
            </w:r>
          </w:p>
        </w:tc>
        <w:tc>
          <w:tcPr>
            <w:tcW w:w="2027" w:type="dxa"/>
            <w:shd w:val="clear" w:color="auto" w:fill="auto"/>
            <w:vAlign w:val="center"/>
          </w:tcPr>
          <w:p w14:paraId="1B1AC671">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建立基准数据库，量化不同国家的用电痛点（如频繁停电、电压不稳）和能源成本，识别移动储能和户用储能的核心价值点（替代燃油发电机、保障稳定用电）。</w:t>
            </w:r>
          </w:p>
        </w:tc>
      </w:tr>
      <w:tr w14:paraId="66E0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22" w:type="dxa"/>
            <w:shd w:val="clear" w:color="auto" w:fill="auto"/>
            <w:vAlign w:val="center"/>
          </w:tcPr>
          <w:p w14:paraId="0C662B63">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bCs/>
                <w:i w:val="0"/>
                <w:iCs w:val="0"/>
                <w:color w:val="000000"/>
                <w:sz w:val="20"/>
                <w:szCs w:val="20"/>
              </w:rPr>
            </w:pPr>
            <w:r>
              <w:rPr>
                <w:rFonts w:hint="eastAsia" w:ascii="等线" w:hAnsi="等线" w:eastAsia="等线" w:cs="等线"/>
                <w:b/>
                <w:bCs/>
                <w:i w:val="0"/>
                <w:iCs w:val="0"/>
                <w:color w:val="000000"/>
                <w:kern w:val="0"/>
                <w:sz w:val="20"/>
                <w:szCs w:val="20"/>
                <w:lang w:val="en-US" w:eastAsia="zh-CN" w:bidi="ar"/>
              </w:rPr>
              <w:t>6.20 - 6.30</w:t>
            </w:r>
          </w:p>
        </w:tc>
        <w:tc>
          <w:tcPr>
            <w:tcW w:w="2270" w:type="dxa"/>
            <w:shd w:val="clear" w:color="auto" w:fill="auto"/>
            <w:vAlign w:val="center"/>
          </w:tcPr>
          <w:p w14:paraId="56E03BD9">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非洲典型家庭用电负荷模型与支付能力分析1.典型家庭画像：根据联合国、世界银行及本地报告，定义不同收入层级（低端、中端、小B端如商铺）的家庭用电设备（照明、风扇、电视、冰箱、手机充电）。</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负荷曲线构建：估算典型家庭在“有电时段”和“停电时段”的用电需求，绘制一日负荷曲线图（区分有无冰箱、有无小商业用途）。</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支付意愿与能力：收集各国人均GDP、家庭月均可支配收入，以及对电费的支出占比。调研现有替代方案（如蜡烛、干电池、燃油发电机）的月均支出。</w:t>
            </w:r>
          </w:p>
        </w:tc>
        <w:tc>
          <w:tcPr>
            <w:tcW w:w="2270" w:type="dxa"/>
            <w:shd w:val="clear" w:color="auto" w:fill="auto"/>
            <w:vAlign w:val="center"/>
          </w:tcPr>
          <w:p w14:paraId="18624DAA">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分工自行协商，建议：</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黄湘雨（主）：构建尼日利亚典型家庭负荷模型，分析其支付能力。</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张文奕（主）：构建摩洛哥、肯尼亚的模型，并交叉验证数据的合理性。</w:t>
            </w:r>
          </w:p>
        </w:tc>
        <w:tc>
          <w:tcPr>
            <w:tcW w:w="2470" w:type="dxa"/>
            <w:shd w:val="clear" w:color="auto" w:fill="auto"/>
            <w:vAlign w:val="center"/>
          </w:tcPr>
          <w:p w14:paraId="634CA5CA">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交付物2：《非洲典型家庭用电画像与储能需求测算报告》</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形成不同国家、不同收入层级家庭的“一日用电曲线”（区分有无停电影响）。</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量化“蜡烛+干电池+燃油”模式与“光储”模式的月度成本对比表。</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提出储能产品容量假设（如基础需求1kWh，小康家庭3kWh）。</w:t>
            </w:r>
          </w:p>
        </w:tc>
        <w:tc>
          <w:tcPr>
            <w:tcW w:w="2027" w:type="dxa"/>
            <w:shd w:val="clear" w:color="auto" w:fill="auto"/>
            <w:vAlign w:val="center"/>
          </w:tcPr>
          <w:p w14:paraId="009C264B">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量化目标用户的真实用电需求和能源支出痛点，为“移动电源”和“户储”产品的容量分级、电压等级、功能定义提供核心输入，并验证市场痛点。</w:t>
            </w:r>
          </w:p>
        </w:tc>
      </w:tr>
    </w:tbl>
    <w:p w14:paraId="70916947">
      <w:pPr>
        <w:spacing w:before="300" w:after="120" w:line="288" w:lineRule="auto"/>
        <w:ind w:left="0"/>
        <w:jc w:val="both"/>
        <w:outlineLvl w:val="2"/>
        <w:rPr>
          <w:rFonts w:ascii="Arial" w:hAnsi="Arial" w:eastAsia="等线" w:cs="Arial"/>
          <w:b/>
          <w:sz w:val="30"/>
        </w:rPr>
      </w:pPr>
      <w:bookmarkStart w:id="1" w:name="heading_1"/>
    </w:p>
    <w:p w14:paraId="2CEFA0FF">
      <w:pPr>
        <w:spacing w:before="300" w:after="120" w:line="288" w:lineRule="auto"/>
        <w:ind w:left="0"/>
        <w:jc w:val="both"/>
        <w:outlineLvl w:val="2"/>
      </w:pPr>
      <w:r>
        <w:rPr>
          <w:rFonts w:ascii="Arial" w:hAnsi="Arial" w:eastAsia="等线" w:cs="Arial"/>
          <w:b/>
          <w:sz w:val="30"/>
        </w:rPr>
        <w:t>第二阶段：经济效益量化与产品需求定义（7月1日 - 7月18日）</w:t>
      </w:r>
      <w:bookmarkEnd w:id="1"/>
    </w:p>
    <w:p w14:paraId="18E30F6B">
      <w:pPr>
        <w:spacing w:before="120" w:after="120" w:line="288" w:lineRule="auto"/>
        <w:ind w:left="0"/>
        <w:jc w:val="both"/>
      </w:pPr>
      <w:r>
        <w:rPr>
          <w:rFonts w:ascii="Arial" w:hAnsi="Arial" w:eastAsia="等线" w:cs="Arial"/>
          <w:sz w:val="22"/>
        </w:rPr>
        <w:t>核心任务：</w:t>
      </w:r>
    </w:p>
    <w:p w14:paraId="6F99A41F">
      <w:pPr>
        <w:spacing w:before="120" w:after="120" w:line="288" w:lineRule="auto"/>
        <w:ind w:left="0"/>
        <w:jc w:val="both"/>
      </w:pPr>
      <w:r>
        <w:rPr>
          <w:rFonts w:ascii="Arial" w:hAnsi="Arial" w:eastAsia="等线" w:cs="Arial"/>
          <w:sz w:val="22"/>
        </w:rPr>
        <w:t>基于第一阶段数据和前置竞品分析结论，分别建模测算移动储能和户用储能方案的用户投资回报周期</w:t>
      </w:r>
      <w:r>
        <w:rPr>
          <w:rFonts w:hint="eastAsia" w:ascii="Arial" w:hAnsi="Arial" w:eastAsia="等线" w:cs="Arial"/>
          <w:sz w:val="22"/>
          <w:lang w:val="en-US" w:eastAsia="zh-CN"/>
        </w:rPr>
        <w:t>或者解决有没有电的核心诉求情况的刚性需求</w:t>
      </w:r>
      <w:r>
        <w:rPr>
          <w:rFonts w:ascii="Arial" w:hAnsi="Arial" w:eastAsia="等线" w:cs="Arial"/>
          <w:sz w:val="22"/>
        </w:rPr>
        <w:t>，明确不同场景下的核心产品参数。</w:t>
      </w:r>
    </w:p>
    <w:tbl>
      <w:tblPr>
        <w:tblStyle w:val="2"/>
        <w:tblW w:w="101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9"/>
        <w:gridCol w:w="2423"/>
        <w:gridCol w:w="1967"/>
        <w:gridCol w:w="3030"/>
        <w:gridCol w:w="1670"/>
      </w:tblGrid>
      <w:tr w14:paraId="4A2C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shd w:val="clear" w:color="auto" w:fill="auto"/>
            <w:vAlign w:val="center"/>
          </w:tcPr>
          <w:p w14:paraId="795D5236">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时间节点</w:t>
            </w:r>
          </w:p>
        </w:tc>
        <w:tc>
          <w:tcPr>
            <w:tcW w:w="0" w:type="auto"/>
            <w:shd w:val="clear" w:color="auto" w:fill="auto"/>
            <w:vAlign w:val="center"/>
          </w:tcPr>
          <w:p w14:paraId="0FDFA841">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调研任务</w:t>
            </w:r>
          </w:p>
        </w:tc>
        <w:tc>
          <w:tcPr>
            <w:tcW w:w="0" w:type="auto"/>
            <w:shd w:val="clear" w:color="auto" w:fill="auto"/>
            <w:vAlign w:val="center"/>
          </w:tcPr>
          <w:p w14:paraId="4F79D370">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执行分工</w:t>
            </w:r>
          </w:p>
        </w:tc>
        <w:tc>
          <w:tcPr>
            <w:tcW w:w="3030" w:type="dxa"/>
            <w:shd w:val="clear" w:color="auto" w:fill="auto"/>
            <w:vAlign w:val="center"/>
          </w:tcPr>
          <w:p w14:paraId="5A989B1F">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交付物及要求</w:t>
            </w:r>
          </w:p>
        </w:tc>
        <w:tc>
          <w:tcPr>
            <w:tcW w:w="1670" w:type="dxa"/>
            <w:shd w:val="clear" w:color="auto" w:fill="auto"/>
            <w:vAlign w:val="center"/>
          </w:tcPr>
          <w:p w14:paraId="1D0EDCE3">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交付物目的</w:t>
            </w:r>
          </w:p>
        </w:tc>
      </w:tr>
      <w:tr w14:paraId="0589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shd w:val="clear" w:color="auto" w:fill="auto"/>
            <w:vAlign w:val="center"/>
          </w:tcPr>
          <w:p w14:paraId="49435E1E">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bCs/>
                <w:i w:val="0"/>
                <w:iCs w:val="0"/>
                <w:color w:val="000000"/>
                <w:sz w:val="20"/>
                <w:szCs w:val="20"/>
              </w:rPr>
            </w:pPr>
            <w:r>
              <w:rPr>
                <w:rFonts w:hint="eastAsia" w:ascii="等线" w:hAnsi="等线" w:eastAsia="等线" w:cs="等线"/>
                <w:b/>
                <w:bCs/>
                <w:i w:val="0"/>
                <w:iCs w:val="0"/>
                <w:color w:val="000000"/>
                <w:kern w:val="0"/>
                <w:sz w:val="20"/>
                <w:szCs w:val="20"/>
                <w:lang w:val="en-US" w:eastAsia="zh-CN" w:bidi="ar"/>
              </w:rPr>
              <w:t>7.1 - 7.10</w:t>
            </w:r>
          </w:p>
        </w:tc>
        <w:tc>
          <w:tcPr>
            <w:tcW w:w="0" w:type="auto"/>
            <w:shd w:val="clear" w:color="auto" w:fill="auto"/>
            <w:vAlign w:val="center"/>
          </w:tcPr>
          <w:p w14:paraId="29916567">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移动储能产品经济性建模与场景分析1.核心场景定义：聚焦户外活动、家庭临时备电、小商贩（如街头食品摊）营业、手机充电站等高频场景。</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经济模型建立：对比“不购买”vs“购买移动电源”的场景。输入（设备成本、燃油发电机替代成本、手机充电收入）。输出（用户月节省费用、投资回报周期）。</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关键参数分析：不同容量（300Wh, 500Wh, 1000Wh）、不同循环寿命下的用户价值。</w:t>
            </w:r>
          </w:p>
        </w:tc>
        <w:tc>
          <w:tcPr>
            <w:tcW w:w="0" w:type="auto"/>
            <w:shd w:val="clear" w:color="auto" w:fill="auto"/>
            <w:vAlign w:val="center"/>
          </w:tcPr>
          <w:p w14:paraId="0AE3C5ED">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分工自行协商，建议：</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张文奕（主）：建立移动储能经济性模型，完成敏感性分析。</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黄湘雨（主）：结合王正午的竞品报告，补充市场现有产品的价格和功能对标。</w:t>
            </w:r>
          </w:p>
        </w:tc>
        <w:tc>
          <w:tcPr>
            <w:tcW w:w="3030" w:type="dxa"/>
            <w:shd w:val="clear" w:color="auto" w:fill="auto"/>
            <w:vAlign w:val="center"/>
          </w:tcPr>
          <w:p w14:paraId="742D3DE1">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交付物3：《非洲移动储能产品经济性分析报告》</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清晰展示尼日利亚小商贩（如手机充电）使用移动电源替代燃油发电机，每月节省XX美元，XX个月回本。</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对比不同容量产品的投资回报周期。</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结合竞品，提出产品定义初稿（主流容量、必备接口、关键卖点）。</w:t>
            </w:r>
          </w:p>
        </w:tc>
        <w:tc>
          <w:tcPr>
            <w:tcW w:w="1670" w:type="dxa"/>
            <w:shd w:val="clear" w:color="auto" w:fill="auto"/>
            <w:vAlign w:val="center"/>
          </w:tcPr>
          <w:p w14:paraId="1E6977C1">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量化移动储能作为“生产力工具”的经济价值或者作为生活必需品的价值，论证其作为消费电子产品的快速普及潜力。为产品定价、市场切入策略提供依据。</w:t>
            </w:r>
          </w:p>
        </w:tc>
      </w:tr>
      <w:tr w14:paraId="3ADF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070" w:type="dxa"/>
            <w:shd w:val="clear" w:color="auto" w:fill="auto"/>
            <w:vAlign w:val="center"/>
          </w:tcPr>
          <w:p w14:paraId="2D5B1034">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bCs/>
                <w:i w:val="0"/>
                <w:iCs w:val="0"/>
                <w:color w:val="000000"/>
                <w:sz w:val="20"/>
                <w:szCs w:val="20"/>
              </w:rPr>
            </w:pPr>
            <w:r>
              <w:rPr>
                <w:rFonts w:hint="eastAsia" w:ascii="等线" w:hAnsi="等线" w:eastAsia="等线" w:cs="等线"/>
                <w:b/>
                <w:bCs/>
                <w:i w:val="0"/>
                <w:iCs w:val="0"/>
                <w:color w:val="000000"/>
                <w:kern w:val="0"/>
                <w:sz w:val="20"/>
                <w:szCs w:val="20"/>
                <w:lang w:val="en-US" w:eastAsia="zh-CN" w:bidi="ar"/>
              </w:rPr>
              <w:t>7.11 - 7.18</w:t>
            </w:r>
          </w:p>
        </w:tc>
        <w:tc>
          <w:tcPr>
            <w:tcW w:w="2423" w:type="dxa"/>
            <w:shd w:val="clear" w:color="auto" w:fill="auto"/>
            <w:vAlign w:val="center"/>
          </w:tcPr>
          <w:p w14:paraId="7BB71212">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户用储能产品经济性建模与系统方案定义1.核心场景定义：聚焦离网家庭、弱电网家庭（每日供电&lt;12小时）、小型诊所、小型办公室。</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经济模型建立：对比“仅用市电+燃油发电机”vs“户用光储系统”。输入（系统初装成本、光伏板配置、电池容量）。输出（系统生命周期成本、投资回报周期）。</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系统方案优化：模拟不同配置方案（如3kWh vs 5kWh、有无光伏、不同品牌逆变器）的经济性。</w:t>
            </w:r>
          </w:p>
        </w:tc>
        <w:tc>
          <w:tcPr>
            <w:tcW w:w="1967" w:type="dxa"/>
            <w:shd w:val="clear" w:color="auto" w:fill="auto"/>
            <w:vAlign w:val="center"/>
          </w:tcPr>
          <w:p w14:paraId="275A6247">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kern w:val="0"/>
                <w:sz w:val="20"/>
                <w:szCs w:val="20"/>
                <w:lang w:val="en-US" w:eastAsia="zh-CN" w:bidi="ar"/>
              </w:rPr>
            </w:pPr>
            <w:r>
              <w:rPr>
                <w:rFonts w:hint="eastAsia" w:ascii="等线" w:hAnsi="等线" w:eastAsia="等线" w:cs="等线"/>
                <w:b w:val="0"/>
                <w:bCs w:val="0"/>
                <w:i w:val="0"/>
                <w:iCs w:val="0"/>
                <w:color w:val="000000"/>
                <w:kern w:val="0"/>
                <w:sz w:val="20"/>
                <w:szCs w:val="20"/>
                <w:lang w:val="en-US" w:eastAsia="zh-CN" w:bidi="ar"/>
              </w:rPr>
              <w:t>分工自行协商，建议：</w:t>
            </w:r>
          </w:p>
          <w:p w14:paraId="1E79532E">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张文奕（主）：建立户用光储系统经济性模型，完成不同配置下的成本收益分析。</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黄湘雨（主）：结合苟睿的竞品报告，分析本地主流品牌（如Powersol、Fenzart）的定价策略和渠道模式。</w:t>
            </w:r>
          </w:p>
        </w:tc>
        <w:tc>
          <w:tcPr>
            <w:tcW w:w="3030" w:type="dxa"/>
            <w:shd w:val="clear" w:color="auto" w:fill="auto"/>
            <w:vAlign w:val="center"/>
          </w:tcPr>
          <w:p w14:paraId="1CD8472C">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交付物4：《非洲户用储能系统经济性及产品定义报告》</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清晰展示在尼日利亚每日停电X小时的情况下，安装5kWh户储系统，XX年可回本。</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对比分体式（逆变器+电池）和一体机（如阳台光储）的优劣势。</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提出产品定义初稿（必备功能、推荐容量、离并网兼容、PAYG兼容性要求）。</w:t>
            </w:r>
          </w:p>
        </w:tc>
        <w:tc>
          <w:tcPr>
            <w:tcW w:w="1670" w:type="dxa"/>
            <w:shd w:val="clear" w:color="auto" w:fill="auto"/>
            <w:vAlign w:val="center"/>
          </w:tcPr>
          <w:p w14:paraId="693742D0">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量化户用储能的长期投资价值，论证其在非洲作为“家庭基础设施”的刚需属性。为产品形态、系统集成方案、金融模式（PAYG）设计提供关键输入。</w:t>
            </w:r>
          </w:p>
        </w:tc>
      </w:tr>
    </w:tbl>
    <w:p w14:paraId="78681B8C">
      <w:pPr>
        <w:spacing w:before="120" w:after="120" w:line="288" w:lineRule="auto"/>
        <w:ind w:left="0"/>
        <w:jc w:val="both"/>
      </w:pPr>
    </w:p>
    <w:p w14:paraId="0C8B9E4D">
      <w:pPr>
        <w:spacing w:before="300" w:after="120" w:line="288" w:lineRule="auto"/>
        <w:ind w:left="0"/>
        <w:jc w:val="both"/>
        <w:outlineLvl w:val="2"/>
      </w:pPr>
      <w:bookmarkStart w:id="2" w:name="heading_2"/>
      <w:r>
        <w:rPr>
          <w:rFonts w:ascii="Arial" w:hAnsi="Arial" w:eastAsia="等线" w:cs="Arial"/>
          <w:b/>
          <w:sz w:val="30"/>
        </w:rPr>
        <w:t>第三阶段：渠道、用户痛点与商业模式初探（7月19日 - 7月27日）</w:t>
      </w:r>
      <w:bookmarkEnd w:id="2"/>
    </w:p>
    <w:p w14:paraId="42E32673">
      <w:pPr>
        <w:spacing w:before="120" w:after="120" w:line="288" w:lineRule="auto"/>
        <w:ind w:left="0"/>
        <w:jc w:val="both"/>
      </w:pPr>
      <w:r>
        <w:rPr>
          <w:rFonts w:ascii="Arial" w:hAnsi="Arial" w:eastAsia="等线" w:cs="Arial"/>
          <w:sz w:val="22"/>
        </w:rPr>
        <w:t>核心任务：</w:t>
      </w:r>
    </w:p>
    <w:p w14:paraId="6E8BEC95">
      <w:pPr>
        <w:spacing w:before="120" w:after="120" w:line="288" w:lineRule="auto"/>
        <w:ind w:left="0"/>
        <w:jc w:val="both"/>
      </w:pPr>
      <w:r>
        <w:rPr>
          <w:rFonts w:ascii="Arial" w:hAnsi="Arial" w:eastAsia="等线" w:cs="Arial"/>
          <w:sz w:val="22"/>
        </w:rPr>
        <w:t>结合经济性分析结论，调研本地化渠道、真实用户反馈及成功商业模式，为最终的产品上市策略和商业计划提供输入。</w:t>
      </w:r>
    </w:p>
    <w:tbl>
      <w:tblPr>
        <w:tblStyle w:val="2"/>
        <w:tblW w:w="88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22"/>
        <w:gridCol w:w="1670"/>
        <w:gridCol w:w="1619"/>
        <w:gridCol w:w="2936"/>
        <w:gridCol w:w="1470"/>
      </w:tblGrid>
      <w:tr w14:paraId="527ED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122" w:type="dxa"/>
            <w:shd w:val="clear" w:color="auto" w:fill="auto"/>
            <w:vAlign w:val="center"/>
          </w:tcPr>
          <w:p w14:paraId="4F2ABEE3">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时间节点</w:t>
            </w:r>
          </w:p>
        </w:tc>
        <w:tc>
          <w:tcPr>
            <w:tcW w:w="1670" w:type="dxa"/>
            <w:shd w:val="clear" w:color="auto" w:fill="auto"/>
            <w:vAlign w:val="center"/>
          </w:tcPr>
          <w:p w14:paraId="4896C06C">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调研任务</w:t>
            </w:r>
          </w:p>
        </w:tc>
        <w:tc>
          <w:tcPr>
            <w:tcW w:w="0" w:type="auto"/>
            <w:shd w:val="clear" w:color="auto" w:fill="auto"/>
            <w:vAlign w:val="center"/>
          </w:tcPr>
          <w:p w14:paraId="11A68F45">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执行分工</w:t>
            </w:r>
          </w:p>
        </w:tc>
        <w:tc>
          <w:tcPr>
            <w:tcW w:w="0" w:type="auto"/>
            <w:shd w:val="clear" w:color="auto" w:fill="auto"/>
            <w:vAlign w:val="center"/>
          </w:tcPr>
          <w:p w14:paraId="52A5A7FC">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交付物及要求</w:t>
            </w:r>
          </w:p>
        </w:tc>
        <w:tc>
          <w:tcPr>
            <w:tcW w:w="1470" w:type="dxa"/>
            <w:shd w:val="clear" w:color="auto" w:fill="auto"/>
            <w:vAlign w:val="center"/>
          </w:tcPr>
          <w:p w14:paraId="1AFCFA2E">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交付物目的</w:t>
            </w:r>
          </w:p>
        </w:tc>
      </w:tr>
      <w:tr w14:paraId="115F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22" w:type="dxa"/>
            <w:shd w:val="clear" w:color="auto" w:fill="auto"/>
            <w:vAlign w:val="center"/>
          </w:tcPr>
          <w:p w14:paraId="5889EEB4">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bCs/>
                <w:i w:val="0"/>
                <w:iCs w:val="0"/>
                <w:color w:val="000000"/>
                <w:sz w:val="20"/>
                <w:szCs w:val="20"/>
              </w:rPr>
            </w:pPr>
            <w:r>
              <w:rPr>
                <w:rFonts w:hint="eastAsia" w:ascii="等线" w:hAnsi="等线" w:eastAsia="等线" w:cs="等线"/>
                <w:b/>
                <w:bCs/>
                <w:i w:val="0"/>
                <w:iCs w:val="0"/>
                <w:color w:val="000000"/>
                <w:kern w:val="0"/>
                <w:sz w:val="20"/>
                <w:szCs w:val="20"/>
                <w:lang w:val="en-US" w:eastAsia="zh-CN" w:bidi="ar"/>
              </w:rPr>
              <w:t>7.19 - 7.27</w:t>
            </w:r>
          </w:p>
        </w:tc>
        <w:tc>
          <w:tcPr>
            <w:tcW w:w="1670" w:type="dxa"/>
            <w:shd w:val="clear" w:color="auto" w:fill="auto"/>
            <w:vAlign w:val="center"/>
          </w:tcPr>
          <w:p w14:paraId="5574B944">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竞品、渠道与用户痛点深度分析1.竞品分析深化：基于王正午、苟睿的报告及最新信息，深度分析传音（Syinix）、Powersol、Bloop等品牌的定价、渠道、售后及用户真实评价（从Jumia、Konga及社交媒体抓取）。</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本地化渠道调研：研究尼日利亚、肯尼亚等国的储能产品分销网络（如手机配件批发市场、电子市场、光伏一条街、电信代理商）。</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用户反馈收集：通过网络论坛、电商评论及行业报告，挖掘用户对现有产品的“槽点”（如：逆变器故障率高、电池衰减快、售后无门、不支持分期）。</w:t>
            </w:r>
          </w:p>
        </w:tc>
        <w:tc>
          <w:tcPr>
            <w:tcW w:w="0" w:type="auto"/>
            <w:shd w:val="clear" w:color="auto" w:fill="auto"/>
            <w:vAlign w:val="center"/>
          </w:tcPr>
          <w:p w14:paraId="348F8228">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张文奕（主）：渠道调研与用户痛点收集。</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黄湘雨（主）：竞品分析报告深化，形成对标表格。</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(协同产品经理、市场渠道经理)</w:t>
            </w:r>
          </w:p>
        </w:tc>
        <w:tc>
          <w:tcPr>
            <w:tcW w:w="0" w:type="auto"/>
            <w:shd w:val="clear" w:color="auto" w:fill="auto"/>
            <w:vAlign w:val="center"/>
          </w:tcPr>
          <w:p w14:paraId="5CD24F11">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交付物5：《非洲储能市场竞品、渠道与用户痛点研究报告》</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列表对比主要竞品（容量、价格、渠道、PAYG模式、售后评价）。</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绘制尼日利亚拉各斯等核心城市的潜在渠道地图。</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总结3-5条最核心的用户“槽点”和期望。</w:t>
            </w:r>
          </w:p>
        </w:tc>
        <w:tc>
          <w:tcPr>
            <w:tcW w:w="1470" w:type="dxa"/>
            <w:shd w:val="clear" w:color="auto" w:fill="auto"/>
            <w:vAlign w:val="center"/>
          </w:tcPr>
          <w:p w14:paraId="6B8791A6">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识别市场空白和差异化机会。确保我们的产品和商业模式能解决真实用户痛点，并在渠道和售后上形成竞争优势。</w:t>
            </w:r>
          </w:p>
        </w:tc>
      </w:tr>
      <w:tr w14:paraId="667F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22" w:type="dxa"/>
            <w:shd w:val="clear" w:color="auto" w:fill="auto"/>
            <w:vAlign w:val="center"/>
          </w:tcPr>
          <w:p w14:paraId="0D5B20BF">
            <w:pPr>
              <w:keepNext/>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bCs/>
                <w:i w:val="0"/>
                <w:iCs w:val="0"/>
                <w:color w:val="000000"/>
                <w:sz w:val="20"/>
                <w:szCs w:val="20"/>
              </w:rPr>
            </w:pPr>
            <w:r>
              <w:rPr>
                <w:rFonts w:hint="eastAsia" w:ascii="等线" w:hAnsi="等线" w:eastAsia="等线" w:cs="等线"/>
                <w:b/>
                <w:bCs/>
                <w:i w:val="0"/>
                <w:iCs w:val="0"/>
                <w:color w:val="000000"/>
                <w:kern w:val="0"/>
                <w:sz w:val="20"/>
                <w:szCs w:val="20"/>
                <w:lang w:val="en-US" w:eastAsia="zh-CN" w:bidi="ar"/>
              </w:rPr>
              <w:t>7.19 - 7.27</w:t>
            </w:r>
          </w:p>
        </w:tc>
        <w:tc>
          <w:tcPr>
            <w:tcW w:w="1670" w:type="dxa"/>
            <w:shd w:val="clear" w:color="auto" w:fill="auto"/>
            <w:vAlign w:val="center"/>
          </w:tcPr>
          <w:p w14:paraId="4CA3F4B6">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商业模式与产品定义定稿1.金融模式设计：基于前期调研，提出可行的PAYG（现收现付）分期付款模式的合作方案或自建方案。</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商业模式建议：提出“硬件销售”与“能源服务”（如按周付费、电池租赁）等多种模式的可行性。</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产品定义最终建议：输出目标产品的具体规格、核心卖点（如超长循环寿命、防沙尘设计、PAYG ready）、目标客群画像及建议零售价。</w:t>
            </w:r>
          </w:p>
        </w:tc>
        <w:tc>
          <w:tcPr>
            <w:tcW w:w="1619" w:type="dxa"/>
            <w:shd w:val="clear" w:color="auto" w:fill="auto"/>
            <w:vAlign w:val="center"/>
          </w:tcPr>
          <w:p w14:paraId="7A8149DA">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由产品经理指导，张文奕、黄湘雨共同完成。</w:t>
            </w:r>
          </w:p>
        </w:tc>
        <w:tc>
          <w:tcPr>
            <w:tcW w:w="2936" w:type="dxa"/>
            <w:shd w:val="clear" w:color="auto" w:fill="auto"/>
            <w:vAlign w:val="center"/>
          </w:tcPr>
          <w:p w14:paraId="4A8B19FC">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交付物6：《非洲市场商业闭环建议方案》与《初代产品定义建议书》</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商业闭环方案需清晰回答“卖什么产品”、“如何卖”、“如何收款”、“如何服务”。</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产品定义建议书需包含3-5个核心SKU及其详细的规格参数、差异化卖点和目标用户画像。</w:t>
            </w:r>
          </w:p>
        </w:tc>
        <w:tc>
          <w:tcPr>
            <w:tcW w:w="1470" w:type="dxa"/>
            <w:shd w:val="clear" w:color="auto" w:fill="auto"/>
            <w:vAlign w:val="center"/>
          </w:tcPr>
          <w:p w14:paraId="6A0AF8AE">
            <w:pPr>
              <w:keepNext/>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将所有的分析落地为可执行的商业计划和产品开发指南。这是本次调研的终极输出，直接服务于“五大业务方向”中的户用储能和移动储能产品线规划。</w:t>
            </w:r>
          </w:p>
        </w:tc>
      </w:tr>
    </w:tbl>
    <w:p w14:paraId="7202B33D">
      <w:pPr>
        <w:spacing w:before="120" w:after="120" w:line="288" w:lineRule="auto"/>
        <w:ind w:left="0"/>
        <w:jc w:val="both"/>
      </w:pPr>
    </w:p>
    <w:p w14:paraId="324954AB">
      <w:pPr>
        <w:spacing w:before="300" w:after="120" w:line="288" w:lineRule="auto"/>
        <w:ind w:left="0"/>
        <w:jc w:val="both"/>
        <w:outlineLvl w:val="2"/>
      </w:pPr>
      <w:bookmarkStart w:id="3" w:name="heading_3"/>
      <w:r>
        <w:rPr>
          <w:rFonts w:ascii="Arial" w:hAnsi="Arial" w:eastAsia="等线" w:cs="Arial"/>
          <w:b/>
          <w:sz w:val="30"/>
        </w:rPr>
        <w:t>第四阶段：整合分析与报告输出（7月28日 - 7月31日）</w:t>
      </w:r>
      <w:bookmarkEnd w:id="3"/>
    </w:p>
    <w:p w14:paraId="228C4A26">
      <w:pPr>
        <w:spacing w:before="120" w:after="120" w:line="288" w:lineRule="auto"/>
        <w:ind w:left="0"/>
        <w:jc w:val="both"/>
      </w:pPr>
      <w:r>
        <w:rPr>
          <w:rFonts w:ascii="Arial" w:hAnsi="Arial" w:eastAsia="等线" w:cs="Arial"/>
          <w:sz w:val="22"/>
        </w:rPr>
        <w:t>核心任务：</w:t>
      </w:r>
    </w:p>
    <w:p w14:paraId="296F8643">
      <w:pPr>
        <w:spacing w:before="120" w:after="120" w:line="288" w:lineRule="auto"/>
        <w:ind w:left="0"/>
        <w:jc w:val="both"/>
      </w:pPr>
      <w:r>
        <w:rPr>
          <w:rFonts w:ascii="Arial" w:hAnsi="Arial" w:eastAsia="等线" w:cs="Arial"/>
          <w:sz w:val="22"/>
        </w:rPr>
        <w:t>将所有调研成果整合成一份综合性报告，清晰地</w:t>
      </w:r>
      <w:r>
        <w:rPr>
          <w:rFonts w:hint="eastAsia" w:ascii="Arial" w:hAnsi="Arial" w:eastAsia="等线" w:cs="Arial"/>
          <w:sz w:val="22"/>
          <w:lang w:val="en-US" w:eastAsia="zh-CN"/>
        </w:rPr>
        <w:t>阐述当地场景、</w:t>
      </w:r>
      <w:r>
        <w:rPr>
          <w:rFonts w:ascii="Arial" w:hAnsi="Arial" w:eastAsia="等线" w:cs="Arial"/>
          <w:sz w:val="22"/>
        </w:rPr>
        <w:t>市场机会、产品策略和行动建议。</w:t>
      </w:r>
    </w:p>
    <w:tbl>
      <w:tblPr>
        <w:tblStyle w:val="2"/>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55"/>
        <w:gridCol w:w="1984"/>
        <w:gridCol w:w="1497"/>
        <w:gridCol w:w="2184"/>
        <w:gridCol w:w="1701"/>
      </w:tblGrid>
      <w:tr w14:paraId="7016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1155" w:type="dxa"/>
            <w:shd w:val="clear" w:color="auto" w:fill="auto"/>
            <w:vAlign w:val="center"/>
          </w:tcPr>
          <w:p w14:paraId="7CEF0CCD">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时间节点</w:t>
            </w:r>
          </w:p>
        </w:tc>
        <w:tc>
          <w:tcPr>
            <w:tcW w:w="1984" w:type="dxa"/>
            <w:shd w:val="clear" w:color="auto" w:fill="auto"/>
            <w:vAlign w:val="center"/>
          </w:tcPr>
          <w:p w14:paraId="4FF3DA92">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调研任务</w:t>
            </w:r>
          </w:p>
        </w:tc>
        <w:tc>
          <w:tcPr>
            <w:tcW w:w="1497" w:type="dxa"/>
            <w:shd w:val="clear" w:color="auto" w:fill="auto"/>
            <w:vAlign w:val="center"/>
          </w:tcPr>
          <w:p w14:paraId="1CA15234">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执行分工</w:t>
            </w:r>
          </w:p>
        </w:tc>
        <w:tc>
          <w:tcPr>
            <w:tcW w:w="2184" w:type="dxa"/>
            <w:shd w:val="clear" w:color="auto" w:fill="auto"/>
            <w:vAlign w:val="center"/>
          </w:tcPr>
          <w:p w14:paraId="0DCE7F29">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交付物及要求</w:t>
            </w:r>
          </w:p>
        </w:tc>
        <w:tc>
          <w:tcPr>
            <w:tcW w:w="1700" w:type="dxa"/>
            <w:shd w:val="clear" w:color="auto" w:fill="auto"/>
            <w:vAlign w:val="center"/>
          </w:tcPr>
          <w:p w14:paraId="6B0B36CA">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i w:val="0"/>
                <w:iCs w:val="0"/>
                <w:color w:val="000000"/>
                <w:sz w:val="20"/>
                <w:szCs w:val="20"/>
              </w:rPr>
            </w:pPr>
            <w:r>
              <w:rPr>
                <w:rFonts w:hint="eastAsia" w:ascii="等线" w:hAnsi="等线" w:eastAsia="等线" w:cs="等线"/>
                <w:b/>
                <w:i w:val="0"/>
                <w:iCs w:val="0"/>
                <w:color w:val="000000"/>
                <w:kern w:val="0"/>
                <w:sz w:val="20"/>
                <w:szCs w:val="20"/>
                <w:lang w:val="en-US" w:eastAsia="zh-CN" w:bidi="ar"/>
              </w:rPr>
              <w:t>交付物目的</w:t>
            </w:r>
          </w:p>
        </w:tc>
      </w:tr>
      <w:tr w14:paraId="4984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155" w:type="dxa"/>
            <w:shd w:val="clear" w:color="auto" w:fill="auto"/>
            <w:vAlign w:val="center"/>
          </w:tcPr>
          <w:p w14:paraId="211867A5">
            <w:pPr>
              <w:keepNext w:val="0"/>
              <w:keepLines w:val="0"/>
              <w:widowControl/>
              <w:suppressLineNumbers w:val="0"/>
              <w:wordWrap/>
              <w:snapToGrid w:val="0"/>
              <w:ind w:left="0" w:leftChars="0" w:right="0" w:rightChars="0" w:firstLine="0" w:firstLineChars="0"/>
              <w:jc w:val="center"/>
              <w:textAlignment w:val="center"/>
              <w:rPr>
                <w:rFonts w:hint="eastAsia" w:ascii="等线" w:hAnsi="等线" w:eastAsia="等线" w:cs="等线"/>
                <w:b/>
                <w:bCs/>
                <w:i w:val="0"/>
                <w:iCs w:val="0"/>
                <w:color w:val="000000"/>
                <w:sz w:val="20"/>
                <w:szCs w:val="20"/>
              </w:rPr>
            </w:pPr>
            <w:r>
              <w:rPr>
                <w:rFonts w:hint="eastAsia" w:ascii="等线" w:hAnsi="等线" w:eastAsia="等线" w:cs="等线"/>
                <w:b/>
                <w:bCs/>
                <w:i w:val="0"/>
                <w:iCs w:val="0"/>
                <w:color w:val="000000"/>
                <w:kern w:val="0"/>
                <w:sz w:val="20"/>
                <w:szCs w:val="20"/>
                <w:lang w:val="en-US" w:eastAsia="zh-CN" w:bidi="ar"/>
              </w:rPr>
              <w:t>7.28 - 7.31</w:t>
            </w:r>
          </w:p>
        </w:tc>
        <w:tc>
          <w:tcPr>
            <w:tcW w:w="1984" w:type="dxa"/>
            <w:shd w:val="clear" w:color="auto" w:fill="auto"/>
            <w:vAlign w:val="center"/>
          </w:tcPr>
          <w:p w14:paraId="3C27CEF2">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最终报告整合与汇报准备</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将所有数据、图表、分析结论汇总到一份完整的Word报告中（同步附带Excel附件表格和PPT解说）。</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2. 核心结论提炼：用一页纸PPT总结出非洲重点国家（如尼日利亚）移动储能和户用储能的市场规模、用户投资回报周期、核心产品建议和优先进入策略。</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3. 明确提出“我们应做什么样的产品”、“优先进入哪个国家或城市”、“目标客户是谁”、“应采用何种渠道和金融模式”的具体行动建议。</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4. 准备最终汇报材料，内部讨论。</w:t>
            </w:r>
          </w:p>
        </w:tc>
        <w:tc>
          <w:tcPr>
            <w:tcW w:w="1497" w:type="dxa"/>
            <w:shd w:val="clear" w:color="auto" w:fill="auto"/>
            <w:vAlign w:val="center"/>
          </w:tcPr>
          <w:p w14:paraId="76AB2288">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张文奕（主）：报告格式整合，图表美化，核心数据复核。</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黄湘雨（主）：提炼核心观点，制作汇报PPT。</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(协同负责人及产品经理)</w:t>
            </w:r>
          </w:p>
        </w:tc>
        <w:tc>
          <w:tcPr>
            <w:tcW w:w="2184" w:type="dxa"/>
            <w:shd w:val="clear" w:color="auto" w:fill="auto"/>
            <w:vAlign w:val="center"/>
          </w:tcPr>
          <w:p w14:paraId="31A46692">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交付物7：《非洲移动储能与户用储能市场深度调研与商业机会报告》</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要求：</w:t>
            </w:r>
            <w:r>
              <w:rPr>
                <w:rFonts w:hint="eastAsia" w:ascii="等线" w:hAnsi="等线" w:eastAsia="等线" w:cs="等线"/>
                <w:b w:val="0"/>
                <w:bCs w:val="0"/>
                <w:i w:val="0"/>
                <w:iCs w:val="0"/>
                <w:color w:val="000000"/>
                <w:kern w:val="0"/>
                <w:sz w:val="20"/>
                <w:szCs w:val="20"/>
                <w:lang w:val="en-US" w:eastAsia="zh-CN" w:bidi="ar"/>
              </w:rPr>
              <w:br w:type="textWrapping"/>
            </w:r>
            <w:r>
              <w:rPr>
                <w:rFonts w:hint="eastAsia" w:ascii="等线" w:hAnsi="等线" w:eastAsia="等线" w:cs="等线"/>
                <w:b w:val="0"/>
                <w:bCs w:val="0"/>
                <w:i w:val="0"/>
                <w:iCs w:val="0"/>
                <w:color w:val="000000"/>
                <w:kern w:val="0"/>
                <w:sz w:val="20"/>
                <w:szCs w:val="20"/>
                <w:lang w:val="en-US" w:eastAsia="zh-CN" w:bidi="ar"/>
              </w:rPr>
              <w:t>1. 结构清晰、数据详实、结论明确、建议可执行。</w:t>
            </w:r>
            <w:r>
              <w:rPr>
                <w:rFonts w:hint="eastAsia" w:ascii="等线" w:hAnsi="等线" w:eastAsia="等线" w:cs="等线"/>
                <w:b w:val="0"/>
                <w:bCs w:val="0"/>
                <w:i w:val="0"/>
                <w:iCs w:val="0"/>
                <w:color w:val="000000"/>
                <w:kern w:val="0"/>
                <w:sz w:val="20"/>
                <w:szCs w:val="20"/>
                <w:lang w:val="en-US" w:eastAsia="zh-CN" w:bidi="ar"/>
              </w:rPr>
              <w:br w:type="textWrapping"/>
            </w:r>
          </w:p>
        </w:tc>
        <w:tc>
          <w:tcPr>
            <w:tcW w:w="1700" w:type="dxa"/>
            <w:shd w:val="clear" w:color="auto" w:fill="auto"/>
            <w:vAlign w:val="center"/>
          </w:tcPr>
          <w:p w14:paraId="15C92AAF">
            <w:pPr>
              <w:keepNext w:val="0"/>
              <w:keepLines w:val="0"/>
              <w:widowControl/>
              <w:suppressLineNumbers w:val="0"/>
              <w:wordWrap/>
              <w:snapToGrid w:val="0"/>
              <w:ind w:left="0" w:leftChars="0" w:right="0" w:rightChars="0" w:firstLine="0" w:firstLineChars="0"/>
              <w:jc w:val="left"/>
              <w:textAlignment w:val="center"/>
              <w:rPr>
                <w:rFonts w:hint="eastAsia" w:ascii="等线" w:hAnsi="等线" w:eastAsia="等线" w:cs="等线"/>
                <w:b w:val="0"/>
                <w:bCs w:val="0"/>
                <w:i w:val="0"/>
                <w:iCs w:val="0"/>
                <w:color w:val="000000"/>
                <w:sz w:val="20"/>
                <w:szCs w:val="20"/>
              </w:rPr>
            </w:pPr>
            <w:r>
              <w:rPr>
                <w:rFonts w:hint="eastAsia" w:ascii="等线" w:hAnsi="等线" w:eastAsia="等线" w:cs="等线"/>
                <w:b w:val="0"/>
                <w:bCs w:val="0"/>
                <w:i w:val="0"/>
                <w:iCs w:val="0"/>
                <w:color w:val="000000"/>
                <w:kern w:val="0"/>
                <w:sz w:val="20"/>
                <w:szCs w:val="20"/>
                <w:lang w:val="en-US" w:eastAsia="zh-CN" w:bidi="ar"/>
              </w:rPr>
              <w:t>为公司非洲储能业务规划提供最核心的决策依据。论证项目进入非洲市场的可行性、优先级、产品策略和具体路径。</w:t>
            </w:r>
          </w:p>
        </w:tc>
      </w:tr>
    </w:tbl>
    <w:p w14:paraId="553A7BEE">
      <w:pPr>
        <w:pBdr>
          <w:bottom w:val="single" w:color="DEE0E3" w:sz="2" w:space="0"/>
          <w:between w:val="single" w:color="DEE0E3" w:sz="2" w:space="0"/>
        </w:pBdr>
        <w:spacing w:before="120" w:after="120" w:line="288" w:lineRule="auto"/>
        <w:ind w:left="0"/>
        <w:jc w:val="both"/>
      </w:pPr>
    </w:p>
    <w:p w14:paraId="62F7E631">
      <w:pPr>
        <w:spacing w:before="300" w:after="120" w:line="288" w:lineRule="auto"/>
        <w:ind w:left="0"/>
        <w:jc w:val="both"/>
        <w:outlineLvl w:val="2"/>
      </w:pPr>
      <w:bookmarkStart w:id="4" w:name="heading_4"/>
      <w:r>
        <w:rPr>
          <w:rFonts w:ascii="Arial" w:hAnsi="Arial" w:eastAsia="等线" w:cs="Arial"/>
          <w:b/>
          <w:sz w:val="30"/>
        </w:rPr>
        <w:t>协作与沟通及进度管理机制</w:t>
      </w:r>
      <w:bookmarkEnd w:id="4"/>
    </w:p>
    <w:p w14:paraId="4A60BDFE">
      <w:pPr>
        <w:numPr>
          <w:ilvl w:val="0"/>
          <w:numId w:val="3"/>
        </w:numPr>
        <w:spacing w:before="120" w:after="120" w:line="288" w:lineRule="auto"/>
        <w:ind w:left="0"/>
        <w:jc w:val="both"/>
      </w:pPr>
      <w:r>
        <w:rPr>
          <w:rFonts w:ascii="Arial" w:hAnsi="Arial" w:eastAsia="等线" w:cs="Arial"/>
          <w:sz w:val="22"/>
        </w:rPr>
        <w:t>每周进度报告：每周五下午</w:t>
      </w:r>
      <w:r>
        <w:rPr>
          <w:rFonts w:hint="eastAsia" w:ascii="Arial" w:hAnsi="Arial" w:eastAsia="等线" w:cs="Arial"/>
          <w:sz w:val="22"/>
          <w:lang w:val="en-US" w:eastAsia="zh-CN"/>
        </w:rPr>
        <w:t>6</w:t>
      </w:r>
      <w:r>
        <w:rPr>
          <w:rFonts w:ascii="Arial" w:hAnsi="Arial" w:eastAsia="等线" w:cs="Arial"/>
          <w:sz w:val="22"/>
        </w:rPr>
        <w:t>点前，张文奕和黄湘雨需共同整理一份《非洲储能调研周度进展报告》提交给事业部负责人。报告需包含：</w:t>
      </w:r>
    </w:p>
    <w:p w14:paraId="074D61CC">
      <w:pPr>
        <w:numPr>
          <w:ilvl w:val="0"/>
          <w:numId w:val="4"/>
        </w:numPr>
        <w:spacing w:before="120" w:after="120" w:line="288" w:lineRule="auto"/>
        <w:ind w:left="453"/>
        <w:jc w:val="both"/>
      </w:pPr>
      <w:r>
        <w:rPr>
          <w:rFonts w:ascii="Arial" w:hAnsi="Arial" w:eastAsia="等线" w:cs="Arial"/>
          <w:sz w:val="22"/>
        </w:rPr>
        <w:t>本周完成的核心任务与关键发现。</w:t>
      </w:r>
    </w:p>
    <w:p w14:paraId="3BCBA53A">
      <w:pPr>
        <w:numPr>
          <w:ilvl w:val="0"/>
          <w:numId w:val="5"/>
        </w:numPr>
        <w:spacing w:before="120" w:after="120" w:line="288" w:lineRule="auto"/>
        <w:ind w:left="453"/>
        <w:jc w:val="both"/>
      </w:pPr>
      <w:r>
        <w:rPr>
          <w:rFonts w:ascii="Arial" w:hAnsi="Arial" w:eastAsia="等线" w:cs="Arial"/>
          <w:sz w:val="22"/>
        </w:rPr>
        <w:t>下周工作计划。</w:t>
      </w:r>
    </w:p>
    <w:p w14:paraId="6C19636A">
      <w:pPr>
        <w:numPr>
          <w:ilvl w:val="0"/>
          <w:numId w:val="6"/>
        </w:numPr>
        <w:spacing w:before="120" w:after="120" w:line="288" w:lineRule="auto"/>
        <w:ind w:left="453"/>
        <w:jc w:val="both"/>
      </w:pPr>
      <w:r>
        <w:rPr>
          <w:rFonts w:ascii="Arial" w:hAnsi="Arial" w:eastAsia="等线" w:cs="Arial"/>
          <w:sz w:val="22"/>
        </w:rPr>
        <w:t>遇到的问题与需要协调的资源。</w:t>
      </w:r>
    </w:p>
    <w:p w14:paraId="43F2814F">
      <w:pPr>
        <w:numPr>
          <w:ilvl w:val="0"/>
          <w:numId w:val="7"/>
        </w:numPr>
        <w:spacing w:before="120" w:after="120" w:line="288" w:lineRule="auto"/>
        <w:ind w:left="0"/>
        <w:jc w:val="both"/>
      </w:pPr>
      <w:r>
        <w:rPr>
          <w:rFonts w:ascii="Arial" w:hAnsi="Arial" w:eastAsia="等线" w:cs="Arial"/>
          <w:sz w:val="22"/>
        </w:rPr>
        <w:t>前置任务确认：负责人需在6月14日和6月18日分别确认王正午、苟睿提交的竞品分析报告，并及时同步给张文奕和黄湘雨作为后续工作的重要输入。</w:t>
      </w:r>
    </w:p>
    <w:p w14:paraId="234CEB84">
      <w:pPr>
        <w:numPr>
          <w:ilvl w:val="0"/>
          <w:numId w:val="8"/>
        </w:numPr>
        <w:spacing w:before="120" w:after="120" w:line="288" w:lineRule="auto"/>
        <w:ind w:left="0"/>
        <w:jc w:val="both"/>
      </w:pPr>
      <w:r>
        <w:rPr>
          <w:rFonts w:ascii="Arial" w:hAnsi="Arial" w:eastAsia="等线" w:cs="Arial"/>
          <w:sz w:val="22"/>
        </w:rPr>
        <w:t>内部沟通会议：每周一下午，张文奕、黄湘雨与事业部负责人召开30分钟短会，同步进展、校准方向。</w:t>
      </w:r>
    </w:p>
    <w:p w14:paraId="745C2378">
      <w:pPr>
        <w:numPr>
          <w:ilvl w:val="0"/>
          <w:numId w:val="9"/>
        </w:numPr>
        <w:spacing w:before="120" w:after="120" w:line="288" w:lineRule="auto"/>
        <w:ind w:left="0"/>
        <w:jc w:val="both"/>
      </w:pPr>
      <w:r>
        <w:rPr>
          <w:rFonts w:ascii="Arial" w:hAnsi="Arial" w:eastAsia="等线" w:cs="Arial"/>
          <w:sz w:val="22"/>
        </w:rPr>
        <w:t>共享工作空间：使用在线协同文档（</w:t>
      </w:r>
      <w:r>
        <w:rPr>
          <w:rFonts w:hint="eastAsia" w:ascii="Arial" w:hAnsi="Arial" w:eastAsia="等线" w:cs="Arial"/>
          <w:sz w:val="22"/>
          <w:lang w:val="en-US" w:eastAsia="zh-CN"/>
        </w:rPr>
        <w:t>企微/飞书</w:t>
      </w:r>
      <w:r>
        <w:rPr>
          <w:rFonts w:ascii="Arial" w:hAnsi="Arial" w:eastAsia="等线" w:cs="Arial"/>
          <w:sz w:val="22"/>
        </w:rPr>
        <w:t>），所有数据、中间文件、报告草稿实时更新，确保信息同步和版本一致。</w:t>
      </w:r>
    </w:p>
    <w:p w14:paraId="7F8CF22B">
      <w:pPr>
        <w:numPr>
          <w:ilvl w:val="0"/>
          <w:numId w:val="10"/>
        </w:numPr>
        <w:spacing w:before="120" w:after="120" w:line="288" w:lineRule="auto"/>
        <w:ind w:left="0"/>
        <w:jc w:val="both"/>
      </w:pPr>
      <w:r>
        <w:rPr>
          <w:rFonts w:ascii="Arial" w:hAnsi="Arial" w:eastAsia="等线" w:cs="Arial"/>
          <w:sz w:val="22"/>
        </w:rPr>
        <w:t>交叉验证：双方对关键数据（如电价、停电频率、设备成本）进行交叉核对，并与产品经理、非洲本地顾问（如有）进行求证，确保数据准确性。</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B1B4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B209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5"/>
      <w:numFmt w:val="decimal"/>
      <w:lvlText w:val="%1."/>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F205925"/>
    <w:multiLevelType w:val="singleLevel"/>
    <w:tmpl w:val="BF205925"/>
    <w:lvl w:ilvl="0" w:tentative="0">
      <w:start w:val="0"/>
      <w:numFmt w:val="bullet"/>
      <w:lvlText w:val="￮"/>
      <w:lvlJc w:val="left"/>
      <w:rPr>
        <w:color w:val="3370FF"/>
      </w:rPr>
    </w:lvl>
  </w:abstractNum>
  <w:abstractNum w:abstractNumId="3">
    <w:nsid w:val="CF092B84"/>
    <w:multiLevelType w:val="singleLevel"/>
    <w:tmpl w:val="CF092B84"/>
    <w:lvl w:ilvl="0" w:tentative="0">
      <w:start w:val="2"/>
      <w:numFmt w:val="decimal"/>
      <w:lvlText w:val="%1."/>
      <w:lvlJc w:val="left"/>
      <w:rPr>
        <w:color w:val="3370FF"/>
      </w:rPr>
    </w:lvl>
  </w:abstractNum>
  <w:abstractNum w:abstractNumId="4">
    <w:nsid w:val="0053208E"/>
    <w:multiLevelType w:val="singleLevel"/>
    <w:tmpl w:val="0053208E"/>
    <w:lvl w:ilvl="0" w:tentative="0">
      <w:start w:val="1"/>
      <w:numFmt w:val="decimal"/>
      <w:lvlText w:val="%1."/>
      <w:lvlJc w:val="left"/>
      <w:rPr>
        <w:color w:val="3370FF"/>
      </w:rPr>
    </w:lvl>
  </w:abstractNum>
  <w:abstractNum w:abstractNumId="5">
    <w:nsid w:val="0248C179"/>
    <w:multiLevelType w:val="singleLevel"/>
    <w:tmpl w:val="0248C179"/>
    <w:lvl w:ilvl="0" w:tentative="0">
      <w:start w:val="4"/>
      <w:numFmt w:val="decimal"/>
      <w:lvlText w:val="%1."/>
      <w:lvlJc w:val="left"/>
      <w:rPr>
        <w:color w:val="3370FF"/>
      </w:rPr>
    </w:lvl>
  </w:abstractNum>
  <w:abstractNum w:abstractNumId="6">
    <w:nsid w:val="03D62ECE"/>
    <w:multiLevelType w:val="singleLevel"/>
    <w:tmpl w:val="03D62ECE"/>
    <w:lvl w:ilvl="0" w:tentative="0">
      <w:start w:val="0"/>
      <w:numFmt w:val="bullet"/>
      <w:lvlText w:val="￮"/>
      <w:lvlJc w:val="left"/>
      <w:rPr>
        <w:color w:val="3370FF"/>
      </w:rPr>
    </w:lvl>
  </w:abstractNum>
  <w:abstractNum w:abstractNumId="7">
    <w:nsid w:val="25B654F3"/>
    <w:multiLevelType w:val="singleLevel"/>
    <w:tmpl w:val="25B654F3"/>
    <w:lvl w:ilvl="0" w:tentative="0">
      <w:start w:val="2"/>
      <w:numFmt w:val="decimal"/>
      <w:lvlText w:val="%1."/>
      <w:lvlJc w:val="left"/>
      <w:rPr>
        <w:color w:val="3370FF"/>
      </w:rPr>
    </w:lvl>
  </w:abstractNum>
  <w:abstractNum w:abstractNumId="8">
    <w:nsid w:val="59ADCABA"/>
    <w:multiLevelType w:val="singleLevel"/>
    <w:tmpl w:val="59ADCABA"/>
    <w:lvl w:ilvl="0" w:tentative="0">
      <w:start w:val="1"/>
      <w:numFmt w:val="decimal"/>
      <w:lvlText w:val="%1."/>
      <w:lvlJc w:val="left"/>
      <w:rPr>
        <w:color w:val="3370FF"/>
      </w:rPr>
    </w:lvl>
  </w:abstractNum>
  <w:abstractNum w:abstractNumId="9">
    <w:nsid w:val="72183CF9"/>
    <w:multiLevelType w:val="singleLevel"/>
    <w:tmpl w:val="72183CF9"/>
    <w:lvl w:ilvl="0" w:tentative="0">
      <w:start w:val="3"/>
      <w:numFmt w:val="decimal"/>
      <w:lvlText w:val="%1."/>
      <w:lvlJc w:val="left"/>
      <w:rPr>
        <w:color w:val="3370FF"/>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593EB1"/>
    <w:rsid w:val="1DAA6C81"/>
    <w:rsid w:val="3AB64A60"/>
    <w:rsid w:val="3D037D04"/>
    <w:rsid w:val="651C12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2990</Words>
  <Characters>3176</Characters>
  <TotalTime>35</TotalTime>
  <ScaleCrop>false</ScaleCrop>
  <LinksUpToDate>false</LinksUpToDate>
  <CharactersWithSpaces>3229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2026-06-10T01:17:00Z</dcterms:created>
  <dc:creator>Apache POI</dc:creator>
  <cp:lastModifiedBy>ZLS</cp:lastModifiedBy>
  <dcterms:modified xsi:type="dcterms:W3CDTF">2026-06-10T02:08:32Z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eyJoZGlkIjoiY2EwYzQxMzkwMjcyMTFjZDQ4ZjM5NWM2ZWM0OTI5NmIiLCJ1c2VySWQiOiIzMjEyNDY5MzUifQ==</vt:lpwstr>
  </property>
  <property fmtid="{D5CDD505-2E9C-101B-9397-08002B2CF9AE}" pid="3" name="KSOProductBuildVer">
    <vt:lpwstr>2052-12.1.0.26895</vt:lpwstr>
  </property>
  <property fmtid="{D5CDD505-2E9C-101B-9397-08002B2CF9AE}" pid="4" name="ICV">
    <vt:lpwstr>2C5C7C1C38A04739A556B2408D7CB0D0_13</vt:lpwstr>
  </property>
</Properties>
</file>