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C93B" w14:textId="77777777" w:rsidR="00E40EC2" w:rsidRDefault="00000000">
      <w:pPr>
        <w:spacing w:before="600" w:after="240"/>
        <w:jc w:val="center"/>
        <w:rPr>
          <w:lang w:eastAsia="zh-CN"/>
        </w:rPr>
      </w:pPr>
      <w:r>
        <w:rPr>
          <w:b/>
          <w:sz w:val="42"/>
          <w:lang w:eastAsia="zh-CN"/>
        </w:rPr>
        <w:t>AI绿色计算容量预测与碳预算风险预警</w:t>
      </w:r>
    </w:p>
    <w:p w14:paraId="56C881AC" w14:textId="77777777" w:rsidR="00E40EC2" w:rsidRDefault="00E40EC2">
      <w:pPr>
        <w:spacing w:after="40"/>
        <w:rPr>
          <w:rFonts w:hint="eastAsia"/>
          <w:lang w:eastAsia="zh-CN"/>
        </w:rPr>
      </w:pPr>
    </w:p>
    <w:p w14:paraId="6523809E" w14:textId="77777777" w:rsidR="00E40EC2" w:rsidRDefault="00000000">
      <w:pPr>
        <w:keepNext/>
        <w:spacing w:before="320" w:after="160"/>
        <w:rPr>
          <w:lang w:eastAsia="zh-CN"/>
        </w:rPr>
      </w:pPr>
      <w:r>
        <w:rPr>
          <w:b/>
          <w:sz w:val="30"/>
          <w:lang w:eastAsia="zh-CN"/>
        </w:rPr>
        <w:t>一、研究问题与边界</w:t>
      </w:r>
    </w:p>
    <w:p w14:paraId="1E0A2523" w14:textId="77777777" w:rsidR="00E40EC2" w:rsidRDefault="00000000">
      <w:pPr>
        <w:spacing w:after="120" w:line="307" w:lineRule="auto"/>
        <w:ind w:firstLine="420"/>
        <w:jc w:val="both"/>
        <w:rPr>
          <w:lang w:eastAsia="zh-CN"/>
        </w:rPr>
      </w:pPr>
      <w:r>
        <w:rPr>
          <w:lang w:eastAsia="zh-CN"/>
        </w:rPr>
        <w:t>AI训练与推理负荷持续增长，但电网碳强度、清洁电力占比和系统负荷在小时尺度上显著波动。现有碳感知计算研究多将重点放在可延迟任务的时空调度；该路线需要任务截止期、可中断性、集群资源和真实功率等细粒度信息，难以直接由当前公开数据支撑。本文转而研究一个更可落地的问题：在给定电网预测信息和企业碳目标时，下一时段允许新增多少AI计算负荷，才能兼顾碳预算、清洁电力匹配和电网峰值约束。</w:t>
      </w:r>
    </w:p>
    <w:p w14:paraId="063F6D3C" w14:textId="77777777" w:rsidR="00E40EC2" w:rsidRDefault="00000000">
      <w:pPr>
        <w:spacing w:after="120" w:line="307" w:lineRule="auto"/>
        <w:ind w:firstLine="420"/>
        <w:jc w:val="both"/>
        <w:rPr>
          <w:lang w:eastAsia="zh-CN"/>
        </w:rPr>
      </w:pPr>
      <w:r>
        <w:rPr>
          <w:lang w:eastAsia="zh-CN"/>
        </w:rPr>
        <w:t>因此，本文将“绿色计算容量”定义为某时段内建议开放给AI业务的附加计算能力上限，而非逐任务调度决策。容量可以用GPU·小时、算力单位或等效电量表示；当缺少真实GPU功率时，以归一化计算负荷并设置单位算力能耗情景进行仿真。该定义使研究结果能够服务于数据中心容量规划、业务准入和碳预算预警，也避免对未观测的调度行为作过强假设。</w:t>
      </w:r>
    </w:p>
    <w:p w14:paraId="4A4E4F25" w14:textId="77777777" w:rsidR="00E40EC2" w:rsidRDefault="00000000">
      <w:pPr>
        <w:keepNext/>
        <w:spacing w:before="320" w:after="160"/>
        <w:rPr>
          <w:lang w:eastAsia="zh-CN"/>
        </w:rPr>
      </w:pPr>
      <w:r>
        <w:rPr>
          <w:b/>
          <w:sz w:val="30"/>
          <w:lang w:eastAsia="zh-CN"/>
        </w:rPr>
        <w:t>二、相关文献综述与研究缺口</w:t>
      </w:r>
    </w:p>
    <w:p w14:paraId="393F08B2" w14:textId="77777777" w:rsidR="00E40EC2" w:rsidRDefault="00000000">
      <w:pPr>
        <w:keepNext/>
        <w:spacing w:before="220" w:after="100"/>
        <w:rPr>
          <w:lang w:eastAsia="zh-CN"/>
        </w:rPr>
      </w:pPr>
      <w:r>
        <w:rPr>
          <w:b/>
          <w:sz w:val="25"/>
          <w:lang w:eastAsia="zh-CN"/>
        </w:rPr>
        <w:t>2.1 碳感知计算与AI碳核算</w:t>
      </w:r>
    </w:p>
    <w:p w14:paraId="423D6EBA" w14:textId="77777777" w:rsidR="00E40EC2" w:rsidRDefault="00000000">
      <w:pPr>
        <w:spacing w:after="120" w:line="307" w:lineRule="auto"/>
        <w:ind w:firstLine="420"/>
        <w:jc w:val="both"/>
        <w:rPr>
          <w:lang w:eastAsia="zh-CN"/>
        </w:rPr>
      </w:pPr>
      <w:r>
        <w:rPr>
          <w:lang w:eastAsia="zh-CN"/>
        </w:rPr>
        <w:t>Radovanović等提出面向数据中心的Carbon-Intelligent Computing，将次日碳强度预测转化为可执行的计算容量约束，说明碳强度预测可服务于容量决策而不仅是事后核算[1]。Dodge等从软件碳强度角度证明，同一AI工作负荷在不同时间和区域运行会产生明显不同的运行碳排放[2]。后续研究进一步在不确定性、性能保证和负荷整形约束下开展碳感知控制[3]。这些成果为本文提供应用逻辑，但其共同前提通常是已有可调度任务与数据中心负荷信息。</w:t>
      </w:r>
    </w:p>
    <w:p w14:paraId="49CDBC26" w14:textId="77777777" w:rsidR="00E40EC2" w:rsidRDefault="00000000">
      <w:pPr>
        <w:keepNext/>
        <w:spacing w:before="220" w:after="100"/>
        <w:rPr>
          <w:lang w:eastAsia="zh-CN"/>
        </w:rPr>
      </w:pPr>
      <w:r>
        <w:rPr>
          <w:b/>
          <w:sz w:val="25"/>
          <w:lang w:eastAsia="zh-CN"/>
        </w:rPr>
        <w:t>2.2 电网碳强度预测与状态建模</w:t>
      </w:r>
    </w:p>
    <w:p w14:paraId="74B7CAD4" w14:textId="77777777" w:rsidR="00E40EC2" w:rsidRDefault="00000000">
      <w:pPr>
        <w:spacing w:after="120" w:line="307" w:lineRule="auto"/>
        <w:ind w:firstLine="420"/>
        <w:jc w:val="both"/>
        <w:rPr>
          <w:lang w:eastAsia="zh-CN"/>
        </w:rPr>
      </w:pPr>
      <w:r>
        <w:rPr>
          <w:lang w:eastAsia="zh-CN"/>
        </w:rPr>
        <w:t>电力碳强度具有惯性、日周期、周周期与能源结构突变并存的特点。多变量时间序列模型通过同时提取短期与长期模式提高多步预测能力[6]。在非平稳环境中，隐马尔可夫模型能够描述不可观测运行状态及其转换[5]；Markovian RNN则以状态概率控制循环单元的不同隐状态转移，为“状态—特征提取方式”耦合提供直接方法依据[4]。本文已有的HMM引导多尺度残差模型据此输出碳强度预测与高碳风险概率。</w:t>
      </w:r>
    </w:p>
    <w:p w14:paraId="49ED1CBA" w14:textId="77777777" w:rsidR="00E40EC2" w:rsidRDefault="00000000">
      <w:pPr>
        <w:keepNext/>
        <w:spacing w:before="220" w:after="100"/>
        <w:rPr>
          <w:lang w:eastAsia="zh-CN"/>
        </w:rPr>
      </w:pPr>
      <w:r>
        <w:rPr>
          <w:b/>
          <w:sz w:val="25"/>
          <w:lang w:eastAsia="zh-CN"/>
        </w:rPr>
        <w:t>2.3 研究缺口</w:t>
      </w:r>
    </w:p>
    <w:p w14:paraId="2873F333" w14:textId="77777777" w:rsidR="00E40EC2" w:rsidRDefault="00000000">
      <w:pPr>
        <w:spacing w:after="120" w:line="307" w:lineRule="auto"/>
        <w:ind w:firstLine="420"/>
        <w:jc w:val="both"/>
        <w:rPr>
          <w:lang w:eastAsia="zh-CN"/>
        </w:rPr>
      </w:pPr>
      <w:r>
        <w:rPr>
          <w:lang w:eastAsia="zh-CN"/>
        </w:rPr>
        <w:t>现有研究在“预测”与“调度”之间往往直接跨越到任务级优化，导致对数据完整性要求较高。对于仅掌握公开电网碳强度及部分负荷、清洁电力信号的研究场景，缺少一个可复现的中间决策层：将碳强度预测、高碳状态预警、清洁电力比例和电网负荷统一转化为可解释的AI绿色容量上限与碳预算风险。本文拟填补这一中间层，而不声称识别真实绿电采购或替代数据中心内部调度系统。</w:t>
      </w:r>
    </w:p>
    <w:p w14:paraId="0345A706" w14:textId="77777777" w:rsidR="00E40EC2" w:rsidRDefault="00000000">
      <w:pPr>
        <w:keepNext/>
        <w:spacing w:before="320" w:after="160"/>
        <w:rPr>
          <w:lang w:eastAsia="zh-CN"/>
        </w:rPr>
      </w:pPr>
      <w:r>
        <w:rPr>
          <w:b/>
          <w:sz w:val="30"/>
          <w:lang w:eastAsia="zh-CN"/>
        </w:rPr>
        <w:lastRenderedPageBreak/>
        <w:t>三、总体技术路线</w:t>
      </w:r>
    </w:p>
    <w:p w14:paraId="22254D33" w14:textId="77777777" w:rsidR="00E40EC2" w:rsidRDefault="00000000">
      <w:pPr>
        <w:spacing w:after="120" w:line="307" w:lineRule="auto"/>
        <w:ind w:firstLine="420"/>
        <w:jc w:val="both"/>
        <w:rPr>
          <w:lang w:eastAsia="zh-CN"/>
        </w:rPr>
      </w:pPr>
      <w:r>
        <w:rPr>
          <w:lang w:eastAsia="zh-CN"/>
        </w:rPr>
        <w:t>研究分为“预测层—容量层—预警层”三步。预测层沿用并验证现有模型；容量层将预测结果转换为各小时的AI计算容量上限；预警层对预算超限、清洁电力匹配不足和峰值压力给出提前告警。HMM仅作为状态描述、弱门控和风险校正信号，不直接决定容量。</w:t>
      </w:r>
    </w:p>
    <w:tbl>
      <w:tblPr>
        <w:tblStyle w:val="aff1"/>
        <w:tblW w:w="0" w:type="auto"/>
        <w:jc w:val="center"/>
        <w:tblLook w:val="04A0" w:firstRow="1" w:lastRow="0" w:firstColumn="1" w:lastColumn="0" w:noHBand="0" w:noVBand="1"/>
      </w:tblPr>
      <w:tblGrid>
        <w:gridCol w:w="615"/>
        <w:gridCol w:w="2796"/>
        <w:gridCol w:w="3741"/>
        <w:gridCol w:w="2216"/>
      </w:tblGrid>
      <w:tr w:rsidR="00E40EC2" w14:paraId="5C85DE1E" w14:textId="77777777" w:rsidTr="001A5D8A">
        <w:trPr>
          <w:tblHeader/>
          <w:jc w:val="center"/>
        </w:trPr>
        <w:tc>
          <w:tcPr>
            <w:tcW w:w="0" w:type="auto"/>
            <w:tcMar>
              <w:top w:w="100" w:type="dxa"/>
              <w:left w:w="120" w:type="dxa"/>
              <w:bottom w:w="100" w:type="dxa"/>
              <w:right w:w="120" w:type="dxa"/>
            </w:tcMar>
            <w:vAlign w:val="center"/>
          </w:tcPr>
          <w:p w14:paraId="0C0F63F7" w14:textId="77777777" w:rsidR="00E40EC2" w:rsidRDefault="00000000">
            <w:pPr>
              <w:spacing w:line="288" w:lineRule="auto"/>
              <w:jc w:val="center"/>
            </w:pPr>
            <w:r>
              <w:rPr>
                <w:b/>
                <w:sz w:val="19"/>
              </w:rPr>
              <w:t>层次</w:t>
            </w:r>
          </w:p>
        </w:tc>
        <w:tc>
          <w:tcPr>
            <w:tcW w:w="0" w:type="auto"/>
            <w:tcMar>
              <w:top w:w="100" w:type="dxa"/>
              <w:left w:w="120" w:type="dxa"/>
              <w:bottom w:w="100" w:type="dxa"/>
              <w:right w:w="120" w:type="dxa"/>
            </w:tcMar>
            <w:vAlign w:val="center"/>
          </w:tcPr>
          <w:p w14:paraId="457ABB52" w14:textId="77777777" w:rsidR="00E40EC2" w:rsidRDefault="00000000">
            <w:pPr>
              <w:spacing w:line="288" w:lineRule="auto"/>
              <w:jc w:val="center"/>
            </w:pPr>
            <w:r>
              <w:rPr>
                <w:b/>
                <w:sz w:val="19"/>
              </w:rPr>
              <w:t>输入</w:t>
            </w:r>
          </w:p>
        </w:tc>
        <w:tc>
          <w:tcPr>
            <w:tcW w:w="0" w:type="auto"/>
            <w:tcMar>
              <w:top w:w="100" w:type="dxa"/>
              <w:left w:w="120" w:type="dxa"/>
              <w:bottom w:w="100" w:type="dxa"/>
              <w:right w:w="120" w:type="dxa"/>
            </w:tcMar>
            <w:vAlign w:val="center"/>
          </w:tcPr>
          <w:p w14:paraId="1071024C" w14:textId="77777777" w:rsidR="00E40EC2" w:rsidRDefault="00000000">
            <w:pPr>
              <w:spacing w:line="288" w:lineRule="auto"/>
              <w:jc w:val="center"/>
            </w:pPr>
            <w:r>
              <w:rPr>
                <w:b/>
                <w:sz w:val="19"/>
              </w:rPr>
              <w:t>方法</w:t>
            </w:r>
          </w:p>
        </w:tc>
        <w:tc>
          <w:tcPr>
            <w:tcW w:w="0" w:type="auto"/>
            <w:tcMar>
              <w:top w:w="100" w:type="dxa"/>
              <w:left w:w="120" w:type="dxa"/>
              <w:bottom w:w="100" w:type="dxa"/>
              <w:right w:w="120" w:type="dxa"/>
            </w:tcMar>
            <w:vAlign w:val="center"/>
          </w:tcPr>
          <w:p w14:paraId="5A71D85A" w14:textId="77777777" w:rsidR="00E40EC2" w:rsidRDefault="00000000">
            <w:pPr>
              <w:spacing w:line="288" w:lineRule="auto"/>
              <w:jc w:val="center"/>
            </w:pPr>
            <w:r>
              <w:rPr>
                <w:b/>
                <w:sz w:val="19"/>
              </w:rPr>
              <w:t>输出</w:t>
            </w:r>
          </w:p>
        </w:tc>
      </w:tr>
      <w:tr w:rsidR="00E40EC2" w14:paraId="461D2261" w14:textId="77777777" w:rsidTr="001A5D8A">
        <w:trPr>
          <w:jc w:val="center"/>
        </w:trPr>
        <w:tc>
          <w:tcPr>
            <w:tcW w:w="0" w:type="auto"/>
            <w:tcMar>
              <w:top w:w="100" w:type="dxa"/>
              <w:left w:w="120" w:type="dxa"/>
              <w:bottom w:w="100" w:type="dxa"/>
              <w:right w:w="120" w:type="dxa"/>
            </w:tcMar>
            <w:vAlign w:val="center"/>
          </w:tcPr>
          <w:p w14:paraId="16A7148B" w14:textId="77777777" w:rsidR="00E40EC2" w:rsidRDefault="00000000">
            <w:pPr>
              <w:spacing w:line="288" w:lineRule="auto"/>
            </w:pPr>
            <w:r>
              <w:rPr>
                <w:sz w:val="18"/>
              </w:rPr>
              <w:t>预测层</w:t>
            </w:r>
          </w:p>
        </w:tc>
        <w:tc>
          <w:tcPr>
            <w:tcW w:w="0" w:type="auto"/>
            <w:tcMar>
              <w:top w:w="100" w:type="dxa"/>
              <w:left w:w="120" w:type="dxa"/>
              <w:bottom w:w="100" w:type="dxa"/>
              <w:right w:w="120" w:type="dxa"/>
            </w:tcMar>
            <w:vAlign w:val="center"/>
          </w:tcPr>
          <w:p w14:paraId="22CBE4B3" w14:textId="77777777" w:rsidR="00E40EC2" w:rsidRDefault="00000000">
            <w:pPr>
              <w:spacing w:line="288" w:lineRule="auto"/>
              <w:rPr>
                <w:lang w:eastAsia="zh-CN"/>
              </w:rPr>
            </w:pPr>
            <w:r>
              <w:rPr>
                <w:sz w:val="18"/>
                <w:lang w:eastAsia="zh-CN"/>
              </w:rPr>
              <w:t>碳强度、清洁电力占比、总负荷/净负荷、日历特征</w:t>
            </w:r>
          </w:p>
        </w:tc>
        <w:tc>
          <w:tcPr>
            <w:tcW w:w="0" w:type="auto"/>
            <w:tcMar>
              <w:top w:w="100" w:type="dxa"/>
              <w:left w:w="120" w:type="dxa"/>
              <w:bottom w:w="100" w:type="dxa"/>
              <w:right w:w="120" w:type="dxa"/>
            </w:tcMar>
            <w:vAlign w:val="center"/>
          </w:tcPr>
          <w:p w14:paraId="03117675" w14:textId="77777777" w:rsidR="00E40EC2" w:rsidRDefault="00000000">
            <w:pPr>
              <w:spacing w:line="288" w:lineRule="auto"/>
              <w:rPr>
                <w:lang w:eastAsia="zh-CN"/>
              </w:rPr>
            </w:pPr>
            <w:r>
              <w:rPr>
                <w:sz w:val="18"/>
                <w:lang w:eastAsia="zh-CN"/>
              </w:rPr>
              <w:t>B1季节性残差多尺度模型预测碳强度；B5预测高碳风险；HMM提供因果状态概率</w:t>
            </w:r>
          </w:p>
        </w:tc>
        <w:tc>
          <w:tcPr>
            <w:tcW w:w="0" w:type="auto"/>
            <w:tcMar>
              <w:top w:w="100" w:type="dxa"/>
              <w:left w:w="120" w:type="dxa"/>
              <w:bottom w:w="100" w:type="dxa"/>
              <w:right w:w="120" w:type="dxa"/>
            </w:tcMar>
            <w:vAlign w:val="center"/>
          </w:tcPr>
          <w:p w14:paraId="4FFA084C" w14:textId="77777777" w:rsidR="00E40EC2" w:rsidRDefault="00000000">
            <w:pPr>
              <w:spacing w:line="288" w:lineRule="auto"/>
              <w:rPr>
                <w:lang w:eastAsia="zh-CN"/>
              </w:rPr>
            </w:pPr>
            <w:r>
              <w:rPr>
                <w:sz w:val="18"/>
                <w:lang w:eastAsia="zh-CN"/>
              </w:rPr>
              <w:t>CI预测、R预测、L预测、高碳风险概率</w:t>
            </w:r>
          </w:p>
        </w:tc>
      </w:tr>
      <w:tr w:rsidR="00E40EC2" w14:paraId="2F896368" w14:textId="77777777" w:rsidTr="001A5D8A">
        <w:trPr>
          <w:jc w:val="center"/>
        </w:trPr>
        <w:tc>
          <w:tcPr>
            <w:tcW w:w="0" w:type="auto"/>
            <w:tcMar>
              <w:top w:w="100" w:type="dxa"/>
              <w:left w:w="120" w:type="dxa"/>
              <w:bottom w:w="100" w:type="dxa"/>
              <w:right w:w="120" w:type="dxa"/>
            </w:tcMar>
            <w:vAlign w:val="center"/>
          </w:tcPr>
          <w:p w14:paraId="66BCBAC1" w14:textId="77777777" w:rsidR="00E40EC2" w:rsidRDefault="00000000">
            <w:pPr>
              <w:spacing w:line="288" w:lineRule="auto"/>
            </w:pPr>
            <w:r>
              <w:rPr>
                <w:sz w:val="18"/>
              </w:rPr>
              <w:t>容量层</w:t>
            </w:r>
          </w:p>
        </w:tc>
        <w:tc>
          <w:tcPr>
            <w:tcW w:w="0" w:type="auto"/>
            <w:tcMar>
              <w:top w:w="100" w:type="dxa"/>
              <w:left w:w="120" w:type="dxa"/>
              <w:bottom w:w="100" w:type="dxa"/>
              <w:right w:w="120" w:type="dxa"/>
            </w:tcMar>
            <w:vAlign w:val="center"/>
          </w:tcPr>
          <w:p w14:paraId="71555DF2" w14:textId="77777777" w:rsidR="00E40EC2" w:rsidRDefault="00000000">
            <w:pPr>
              <w:spacing w:line="288" w:lineRule="auto"/>
              <w:rPr>
                <w:lang w:eastAsia="zh-CN"/>
              </w:rPr>
            </w:pPr>
            <w:r>
              <w:rPr>
                <w:sz w:val="18"/>
                <w:lang w:eastAsia="zh-CN"/>
              </w:rPr>
              <w:t>预测量、负荷上限、碳预算、清洁匹配目标、AI需求情景</w:t>
            </w:r>
          </w:p>
        </w:tc>
        <w:tc>
          <w:tcPr>
            <w:tcW w:w="0" w:type="auto"/>
            <w:tcMar>
              <w:top w:w="100" w:type="dxa"/>
              <w:left w:w="120" w:type="dxa"/>
              <w:bottom w:w="100" w:type="dxa"/>
              <w:right w:w="120" w:type="dxa"/>
            </w:tcMar>
            <w:vAlign w:val="center"/>
          </w:tcPr>
          <w:p w14:paraId="7301F2F7" w14:textId="77777777" w:rsidR="00E40EC2" w:rsidRDefault="00000000">
            <w:pPr>
              <w:spacing w:line="288" w:lineRule="auto"/>
              <w:rPr>
                <w:lang w:eastAsia="zh-CN"/>
              </w:rPr>
            </w:pPr>
            <w:r>
              <w:rPr>
                <w:sz w:val="18"/>
                <w:lang w:eastAsia="zh-CN"/>
              </w:rPr>
              <w:t>线性容量规划或规则型安全容量曲线</w:t>
            </w:r>
          </w:p>
        </w:tc>
        <w:tc>
          <w:tcPr>
            <w:tcW w:w="0" w:type="auto"/>
            <w:tcMar>
              <w:top w:w="100" w:type="dxa"/>
              <w:left w:w="120" w:type="dxa"/>
              <w:bottom w:w="100" w:type="dxa"/>
              <w:right w:w="120" w:type="dxa"/>
            </w:tcMar>
            <w:vAlign w:val="center"/>
          </w:tcPr>
          <w:p w14:paraId="2CD2D6DB" w14:textId="77777777" w:rsidR="00E40EC2" w:rsidRDefault="00000000">
            <w:pPr>
              <w:spacing w:line="288" w:lineRule="auto"/>
            </w:pPr>
            <w:r>
              <w:rPr>
                <w:sz w:val="18"/>
              </w:rPr>
              <w:t>绿色容量上限 C_green</w:t>
            </w:r>
          </w:p>
        </w:tc>
      </w:tr>
      <w:tr w:rsidR="00E40EC2" w14:paraId="325887EC" w14:textId="77777777" w:rsidTr="001A5D8A">
        <w:trPr>
          <w:jc w:val="center"/>
        </w:trPr>
        <w:tc>
          <w:tcPr>
            <w:tcW w:w="0" w:type="auto"/>
            <w:tcMar>
              <w:top w:w="100" w:type="dxa"/>
              <w:left w:w="120" w:type="dxa"/>
              <w:bottom w:w="100" w:type="dxa"/>
              <w:right w:w="120" w:type="dxa"/>
            </w:tcMar>
            <w:vAlign w:val="center"/>
          </w:tcPr>
          <w:p w14:paraId="44B74A13" w14:textId="77777777" w:rsidR="00E40EC2" w:rsidRDefault="00000000">
            <w:pPr>
              <w:spacing w:line="288" w:lineRule="auto"/>
            </w:pPr>
            <w:r>
              <w:rPr>
                <w:sz w:val="18"/>
              </w:rPr>
              <w:t>预警层</w:t>
            </w:r>
          </w:p>
        </w:tc>
        <w:tc>
          <w:tcPr>
            <w:tcW w:w="0" w:type="auto"/>
            <w:tcMar>
              <w:top w:w="100" w:type="dxa"/>
              <w:left w:w="120" w:type="dxa"/>
              <w:bottom w:w="100" w:type="dxa"/>
              <w:right w:w="120" w:type="dxa"/>
            </w:tcMar>
            <w:vAlign w:val="center"/>
          </w:tcPr>
          <w:p w14:paraId="46A184B5" w14:textId="77777777" w:rsidR="00E40EC2" w:rsidRDefault="00000000">
            <w:pPr>
              <w:spacing w:line="288" w:lineRule="auto"/>
              <w:rPr>
                <w:lang w:eastAsia="zh-CN"/>
              </w:rPr>
            </w:pPr>
            <w:r>
              <w:rPr>
                <w:sz w:val="18"/>
                <w:lang w:eastAsia="zh-CN"/>
              </w:rPr>
              <w:t>容量方案、预测误差区间、状态风险</w:t>
            </w:r>
          </w:p>
        </w:tc>
        <w:tc>
          <w:tcPr>
            <w:tcW w:w="0" w:type="auto"/>
            <w:tcMar>
              <w:top w:w="100" w:type="dxa"/>
              <w:left w:w="120" w:type="dxa"/>
              <w:bottom w:w="100" w:type="dxa"/>
              <w:right w:w="120" w:type="dxa"/>
            </w:tcMar>
            <w:vAlign w:val="center"/>
          </w:tcPr>
          <w:p w14:paraId="3D6CEA5F" w14:textId="77777777" w:rsidR="00E40EC2" w:rsidRDefault="00000000">
            <w:pPr>
              <w:spacing w:line="288" w:lineRule="auto"/>
            </w:pPr>
            <w:r>
              <w:rPr>
                <w:sz w:val="18"/>
              </w:rPr>
              <w:t>预算累计与阈值判定</w:t>
            </w:r>
          </w:p>
        </w:tc>
        <w:tc>
          <w:tcPr>
            <w:tcW w:w="0" w:type="auto"/>
            <w:tcMar>
              <w:top w:w="100" w:type="dxa"/>
              <w:left w:w="120" w:type="dxa"/>
              <w:bottom w:w="100" w:type="dxa"/>
              <w:right w:w="120" w:type="dxa"/>
            </w:tcMar>
            <w:vAlign w:val="center"/>
          </w:tcPr>
          <w:p w14:paraId="16681774" w14:textId="77777777" w:rsidR="00E40EC2" w:rsidRDefault="00000000">
            <w:pPr>
              <w:spacing w:line="288" w:lineRule="auto"/>
              <w:rPr>
                <w:lang w:eastAsia="zh-CN"/>
              </w:rPr>
            </w:pPr>
            <w:r>
              <w:rPr>
                <w:sz w:val="18"/>
                <w:lang w:eastAsia="zh-CN"/>
              </w:rPr>
              <w:t>绿电匹配、碳预算、峰值三类预警</w:t>
            </w:r>
          </w:p>
        </w:tc>
      </w:tr>
    </w:tbl>
    <w:p w14:paraId="096326DB" w14:textId="77777777" w:rsidR="00E40EC2" w:rsidRDefault="00E40EC2">
      <w:pPr>
        <w:spacing w:after="40"/>
        <w:rPr>
          <w:lang w:eastAsia="zh-CN"/>
        </w:rPr>
      </w:pPr>
    </w:p>
    <w:p w14:paraId="3BD642ED" w14:textId="77777777" w:rsidR="00E40EC2" w:rsidRDefault="00000000">
      <w:pPr>
        <w:keepNext/>
        <w:spacing w:before="320" w:after="160"/>
        <w:rPr>
          <w:lang w:eastAsia="zh-CN"/>
        </w:rPr>
      </w:pPr>
      <w:r>
        <w:rPr>
          <w:b/>
          <w:sz w:val="30"/>
          <w:lang w:eastAsia="zh-CN"/>
        </w:rPr>
        <w:t>四、预测层：沿用现有碳风险预测模型</w:t>
      </w:r>
    </w:p>
    <w:p w14:paraId="25D24DC0" w14:textId="77777777" w:rsidR="00E40EC2" w:rsidRDefault="00000000">
      <w:pPr>
        <w:spacing w:after="120" w:line="307" w:lineRule="auto"/>
        <w:ind w:firstLine="420"/>
        <w:jc w:val="both"/>
        <w:rPr>
          <w:lang w:eastAsia="zh-CN"/>
        </w:rPr>
      </w:pPr>
      <w:r>
        <w:rPr>
          <w:lang w:eastAsia="zh-CN"/>
        </w:rPr>
        <w:t>预测层不重新发明模型，而是使用已完成的中国电网碳强度预测与预警工程。回归主干优先采用B1季节性残差多尺度Attention-LSTM：短期分支提取近24小时波动，长期分支提取168小时周期摘要，线性季节性残差分支保留可解释的惯性与周期成分。分类主干采用B5 LightGBM—深度残差优化模型输出高碳风险概率。</w:t>
      </w:r>
    </w:p>
    <w:p w14:paraId="0FFD7573" w14:textId="77777777" w:rsidR="00E40EC2" w:rsidRDefault="00000000">
      <w:pPr>
        <w:spacing w:after="120" w:line="307" w:lineRule="auto"/>
        <w:ind w:firstLine="420"/>
        <w:jc w:val="both"/>
        <w:rPr>
          <w:lang w:eastAsia="zh-CN"/>
        </w:rPr>
      </w:pPr>
      <w:r>
        <w:rPr>
          <w:lang w:eastAsia="zh-CN"/>
        </w:rPr>
        <w:t>HMM状态后验必须采用因果前向过滤概率 p_t(k)=P(S_t=k|X_{1:t})，不能使用含未来观测的平滑后验。对于Markovian门控，时刻t的循环单元使用上一时刻状态信念</w:t>
      </w:r>
      <w:r>
        <w:t>α</w:t>
      </w:r>
      <w:r>
        <w:rPr>
          <w:lang w:eastAsia="zh-CN"/>
        </w:rPr>
        <w:t>_{t-1}作为各状态LSTMCell候选隐状态与细胞状态的软加权系数。容量层只读取预测时点可获得的风险概率，避免产生新的未来信息泄漏。</w:t>
      </w:r>
    </w:p>
    <w:p w14:paraId="098F872F" w14:textId="77777777" w:rsidR="00E40EC2" w:rsidRDefault="00000000">
      <w:pPr>
        <w:spacing w:before="40" w:after="100"/>
        <w:jc w:val="center"/>
        <w:rPr>
          <w:lang w:eastAsia="zh-CN"/>
        </w:rPr>
      </w:pPr>
      <w:r>
        <w:rPr>
          <w:lang w:eastAsia="zh-CN"/>
        </w:rPr>
        <w:t xml:space="preserve">hₜ = </w:t>
      </w:r>
      <w:r>
        <w:t>Σ</w:t>
      </w:r>
      <w:r>
        <w:rPr>
          <w:lang w:eastAsia="zh-CN"/>
        </w:rPr>
        <w:t xml:space="preserve">ₖ </w:t>
      </w:r>
      <w:r>
        <w:t>α</w:t>
      </w:r>
      <w:r>
        <w:rPr>
          <w:lang w:eastAsia="zh-CN"/>
        </w:rPr>
        <w:t xml:space="preserve">ₜ₋₁,ₖ hₜ⁽ᵏ⁾，     cₜ = </w:t>
      </w:r>
      <w:r>
        <w:t>Σ</w:t>
      </w:r>
      <w:r>
        <w:rPr>
          <w:lang w:eastAsia="zh-CN"/>
        </w:rPr>
        <w:t xml:space="preserve">ₖ </w:t>
      </w:r>
      <w:r>
        <w:t>α</w:t>
      </w:r>
      <w:r>
        <w:rPr>
          <w:lang w:eastAsia="zh-CN"/>
        </w:rPr>
        <w:t>ₜ₋₁,ₖ cₜ⁽ᵏ⁾</w:t>
      </w:r>
    </w:p>
    <w:p w14:paraId="6241D7B6" w14:textId="77777777" w:rsidR="00E40EC2" w:rsidRDefault="00000000">
      <w:pPr>
        <w:spacing w:after="120" w:line="307" w:lineRule="auto"/>
        <w:ind w:firstLine="420"/>
        <w:jc w:val="both"/>
        <w:rPr>
          <w:lang w:eastAsia="zh-CN"/>
        </w:rPr>
      </w:pPr>
      <w:r>
        <w:rPr>
          <w:lang w:eastAsia="zh-CN"/>
        </w:rPr>
        <w:t>B7（无HMM）、B8（因果HMM概率拼接）和B9（Markovian状态软混合）用于验证HMM使用方式；若B9在多随机种子下不能稳定优于B7/B8，则在应用层采用B1/B5预测输出，不强行将强门控作为主模型。</w:t>
      </w:r>
    </w:p>
    <w:p w14:paraId="12FD3F74" w14:textId="77777777" w:rsidR="00E40EC2" w:rsidRDefault="00000000">
      <w:pPr>
        <w:keepNext/>
        <w:spacing w:before="320" w:after="160"/>
        <w:rPr>
          <w:lang w:eastAsia="zh-CN"/>
        </w:rPr>
      </w:pPr>
      <w:r>
        <w:rPr>
          <w:b/>
          <w:sz w:val="30"/>
          <w:lang w:eastAsia="zh-CN"/>
        </w:rPr>
        <w:t>五、容量层：AI绿色计算容量模型</w:t>
      </w:r>
    </w:p>
    <w:p w14:paraId="187812EB" w14:textId="77777777" w:rsidR="00E40EC2" w:rsidRDefault="00000000">
      <w:pPr>
        <w:keepNext/>
        <w:spacing w:before="220" w:after="100"/>
      </w:pPr>
      <w:r>
        <w:rPr>
          <w:b/>
          <w:sz w:val="25"/>
        </w:rPr>
        <w:t>5.1 变量定义</w:t>
      </w:r>
    </w:p>
    <w:tbl>
      <w:tblPr>
        <w:tblStyle w:val="aff1"/>
        <w:tblW w:w="0" w:type="auto"/>
        <w:jc w:val="center"/>
        <w:tblLook w:val="04A0" w:firstRow="1" w:lastRow="0" w:firstColumn="1" w:lastColumn="0" w:noHBand="0" w:noVBand="1"/>
      </w:tblPr>
      <w:tblGrid>
        <w:gridCol w:w="1281"/>
        <w:gridCol w:w="4701"/>
        <w:gridCol w:w="3386"/>
      </w:tblGrid>
      <w:tr w:rsidR="00E40EC2" w14:paraId="28952436" w14:textId="77777777" w:rsidTr="001A5D8A">
        <w:trPr>
          <w:tblHeader/>
          <w:jc w:val="center"/>
        </w:trPr>
        <w:tc>
          <w:tcPr>
            <w:tcW w:w="0" w:type="auto"/>
            <w:tcMar>
              <w:top w:w="100" w:type="dxa"/>
              <w:left w:w="120" w:type="dxa"/>
              <w:bottom w:w="100" w:type="dxa"/>
              <w:right w:w="120" w:type="dxa"/>
            </w:tcMar>
            <w:vAlign w:val="center"/>
          </w:tcPr>
          <w:p w14:paraId="517A89AD" w14:textId="77777777" w:rsidR="00E40EC2" w:rsidRDefault="00000000">
            <w:pPr>
              <w:spacing w:line="288" w:lineRule="auto"/>
              <w:jc w:val="center"/>
            </w:pPr>
            <w:r>
              <w:rPr>
                <w:b/>
                <w:sz w:val="19"/>
              </w:rPr>
              <w:t>符号</w:t>
            </w:r>
          </w:p>
        </w:tc>
        <w:tc>
          <w:tcPr>
            <w:tcW w:w="0" w:type="auto"/>
            <w:tcMar>
              <w:top w:w="100" w:type="dxa"/>
              <w:left w:w="120" w:type="dxa"/>
              <w:bottom w:w="100" w:type="dxa"/>
              <w:right w:w="120" w:type="dxa"/>
            </w:tcMar>
            <w:vAlign w:val="center"/>
          </w:tcPr>
          <w:p w14:paraId="6500968D" w14:textId="77777777" w:rsidR="00E40EC2" w:rsidRDefault="00000000">
            <w:pPr>
              <w:spacing w:line="288" w:lineRule="auto"/>
              <w:jc w:val="center"/>
            </w:pPr>
            <w:r>
              <w:rPr>
                <w:b/>
                <w:sz w:val="19"/>
              </w:rPr>
              <w:t>含义</w:t>
            </w:r>
          </w:p>
        </w:tc>
        <w:tc>
          <w:tcPr>
            <w:tcW w:w="0" w:type="auto"/>
            <w:tcMar>
              <w:top w:w="100" w:type="dxa"/>
              <w:left w:w="120" w:type="dxa"/>
              <w:bottom w:w="100" w:type="dxa"/>
              <w:right w:w="120" w:type="dxa"/>
            </w:tcMar>
            <w:vAlign w:val="center"/>
          </w:tcPr>
          <w:p w14:paraId="629C7DDB" w14:textId="77777777" w:rsidR="00E40EC2" w:rsidRDefault="00000000">
            <w:pPr>
              <w:spacing w:line="288" w:lineRule="auto"/>
              <w:jc w:val="center"/>
            </w:pPr>
            <w:r>
              <w:rPr>
                <w:b/>
                <w:sz w:val="19"/>
              </w:rPr>
              <w:t>来源/设定</w:t>
            </w:r>
          </w:p>
        </w:tc>
      </w:tr>
      <w:tr w:rsidR="00E40EC2" w14:paraId="039082D5" w14:textId="77777777" w:rsidTr="001A5D8A">
        <w:trPr>
          <w:jc w:val="center"/>
        </w:trPr>
        <w:tc>
          <w:tcPr>
            <w:tcW w:w="0" w:type="auto"/>
            <w:tcMar>
              <w:top w:w="100" w:type="dxa"/>
              <w:left w:w="120" w:type="dxa"/>
              <w:bottom w:w="100" w:type="dxa"/>
              <w:right w:w="120" w:type="dxa"/>
            </w:tcMar>
            <w:vAlign w:val="center"/>
          </w:tcPr>
          <w:p w14:paraId="7C9AE36F" w14:textId="77777777" w:rsidR="00E40EC2" w:rsidRDefault="00000000">
            <w:pPr>
              <w:spacing w:line="288" w:lineRule="auto"/>
            </w:pPr>
            <w:r>
              <w:rPr>
                <w:sz w:val="18"/>
              </w:rPr>
              <w:t>C_t</w:t>
            </w:r>
          </w:p>
        </w:tc>
        <w:tc>
          <w:tcPr>
            <w:tcW w:w="0" w:type="auto"/>
            <w:tcMar>
              <w:top w:w="100" w:type="dxa"/>
              <w:left w:w="120" w:type="dxa"/>
              <w:bottom w:w="100" w:type="dxa"/>
              <w:right w:w="120" w:type="dxa"/>
            </w:tcMar>
            <w:vAlign w:val="center"/>
          </w:tcPr>
          <w:p w14:paraId="5D1425E3" w14:textId="77777777" w:rsidR="00E40EC2" w:rsidRDefault="00000000">
            <w:pPr>
              <w:spacing w:line="288" w:lineRule="auto"/>
              <w:rPr>
                <w:lang w:eastAsia="zh-CN"/>
              </w:rPr>
            </w:pPr>
            <w:r>
              <w:rPr>
                <w:sz w:val="18"/>
                <w:lang w:eastAsia="zh-CN"/>
              </w:rPr>
              <w:t>时段t允许新增的AI计算容量（GPU·小时或归一化算力）</w:t>
            </w:r>
          </w:p>
        </w:tc>
        <w:tc>
          <w:tcPr>
            <w:tcW w:w="0" w:type="auto"/>
            <w:tcMar>
              <w:top w:w="100" w:type="dxa"/>
              <w:left w:w="120" w:type="dxa"/>
              <w:bottom w:w="100" w:type="dxa"/>
              <w:right w:w="120" w:type="dxa"/>
            </w:tcMar>
            <w:vAlign w:val="center"/>
          </w:tcPr>
          <w:p w14:paraId="68FE6C60" w14:textId="77777777" w:rsidR="00E40EC2" w:rsidRDefault="00000000">
            <w:pPr>
              <w:spacing w:line="288" w:lineRule="auto"/>
            </w:pPr>
            <w:r>
              <w:rPr>
                <w:sz w:val="18"/>
              </w:rPr>
              <w:t>待决策变量</w:t>
            </w:r>
          </w:p>
        </w:tc>
      </w:tr>
      <w:tr w:rsidR="00E40EC2" w14:paraId="430A0FEA" w14:textId="77777777" w:rsidTr="001A5D8A">
        <w:trPr>
          <w:jc w:val="center"/>
        </w:trPr>
        <w:tc>
          <w:tcPr>
            <w:tcW w:w="0" w:type="auto"/>
            <w:tcMar>
              <w:top w:w="100" w:type="dxa"/>
              <w:left w:w="120" w:type="dxa"/>
              <w:bottom w:w="100" w:type="dxa"/>
              <w:right w:w="120" w:type="dxa"/>
            </w:tcMar>
            <w:vAlign w:val="center"/>
          </w:tcPr>
          <w:p w14:paraId="59F7E4B1" w14:textId="77777777" w:rsidR="00E40EC2" w:rsidRDefault="00000000">
            <w:pPr>
              <w:spacing w:line="288" w:lineRule="auto"/>
            </w:pPr>
            <w:r>
              <w:rPr>
                <w:sz w:val="18"/>
              </w:rPr>
              <w:t>D_t</w:t>
            </w:r>
          </w:p>
        </w:tc>
        <w:tc>
          <w:tcPr>
            <w:tcW w:w="0" w:type="auto"/>
            <w:tcMar>
              <w:top w:w="100" w:type="dxa"/>
              <w:left w:w="120" w:type="dxa"/>
              <w:bottom w:w="100" w:type="dxa"/>
              <w:right w:w="120" w:type="dxa"/>
            </w:tcMar>
            <w:vAlign w:val="center"/>
          </w:tcPr>
          <w:p w14:paraId="160D46CD" w14:textId="77777777" w:rsidR="00E40EC2" w:rsidRDefault="00000000">
            <w:pPr>
              <w:spacing w:line="288" w:lineRule="auto"/>
              <w:rPr>
                <w:lang w:eastAsia="zh-CN"/>
              </w:rPr>
            </w:pPr>
            <w:r>
              <w:rPr>
                <w:sz w:val="18"/>
                <w:lang w:eastAsia="zh-CN"/>
              </w:rPr>
              <w:t>时段t潜在AI计算需求</w:t>
            </w:r>
          </w:p>
        </w:tc>
        <w:tc>
          <w:tcPr>
            <w:tcW w:w="0" w:type="auto"/>
            <w:tcMar>
              <w:top w:w="100" w:type="dxa"/>
              <w:left w:w="120" w:type="dxa"/>
              <w:bottom w:w="100" w:type="dxa"/>
              <w:right w:w="120" w:type="dxa"/>
            </w:tcMar>
            <w:vAlign w:val="center"/>
          </w:tcPr>
          <w:p w14:paraId="1661DA8D" w14:textId="77777777" w:rsidR="00E40EC2" w:rsidRDefault="00000000">
            <w:pPr>
              <w:spacing w:line="288" w:lineRule="auto"/>
              <w:rPr>
                <w:lang w:eastAsia="zh-CN"/>
              </w:rPr>
            </w:pPr>
            <w:r>
              <w:rPr>
                <w:sz w:val="18"/>
                <w:lang w:eastAsia="zh-CN"/>
              </w:rPr>
              <w:t>公开GPU轨迹聚合或归一化情景</w:t>
            </w:r>
          </w:p>
        </w:tc>
      </w:tr>
      <w:tr w:rsidR="00E40EC2" w14:paraId="0B5D4639" w14:textId="77777777" w:rsidTr="001A5D8A">
        <w:trPr>
          <w:jc w:val="center"/>
        </w:trPr>
        <w:tc>
          <w:tcPr>
            <w:tcW w:w="0" w:type="auto"/>
            <w:tcMar>
              <w:top w:w="100" w:type="dxa"/>
              <w:left w:w="120" w:type="dxa"/>
              <w:bottom w:w="100" w:type="dxa"/>
              <w:right w:w="120" w:type="dxa"/>
            </w:tcMar>
            <w:vAlign w:val="center"/>
          </w:tcPr>
          <w:p w14:paraId="741162CA" w14:textId="77777777" w:rsidR="00E40EC2" w:rsidRDefault="00000000">
            <w:pPr>
              <w:spacing w:line="288" w:lineRule="auto"/>
            </w:pPr>
            <w:r>
              <w:rPr>
                <w:sz w:val="18"/>
              </w:rPr>
              <w:lastRenderedPageBreak/>
              <w:t>η</w:t>
            </w:r>
          </w:p>
        </w:tc>
        <w:tc>
          <w:tcPr>
            <w:tcW w:w="0" w:type="auto"/>
            <w:tcMar>
              <w:top w:w="100" w:type="dxa"/>
              <w:left w:w="120" w:type="dxa"/>
              <w:bottom w:w="100" w:type="dxa"/>
              <w:right w:w="120" w:type="dxa"/>
            </w:tcMar>
            <w:vAlign w:val="center"/>
          </w:tcPr>
          <w:p w14:paraId="5A07D6F8" w14:textId="77777777" w:rsidR="00E40EC2" w:rsidRDefault="00000000">
            <w:pPr>
              <w:spacing w:line="288" w:lineRule="auto"/>
              <w:rPr>
                <w:lang w:eastAsia="zh-CN"/>
              </w:rPr>
            </w:pPr>
            <w:r>
              <w:rPr>
                <w:sz w:val="18"/>
                <w:lang w:eastAsia="zh-CN"/>
              </w:rPr>
              <w:t>单位AI计算的等效耗电量（kWh/单位算力）</w:t>
            </w:r>
          </w:p>
        </w:tc>
        <w:tc>
          <w:tcPr>
            <w:tcW w:w="0" w:type="auto"/>
            <w:tcMar>
              <w:top w:w="100" w:type="dxa"/>
              <w:left w:w="120" w:type="dxa"/>
              <w:bottom w:w="100" w:type="dxa"/>
              <w:right w:w="120" w:type="dxa"/>
            </w:tcMar>
            <w:vAlign w:val="center"/>
          </w:tcPr>
          <w:p w14:paraId="79CEBE09" w14:textId="77777777" w:rsidR="00E40EC2" w:rsidRDefault="00000000">
            <w:pPr>
              <w:spacing w:line="288" w:lineRule="auto"/>
              <w:rPr>
                <w:lang w:eastAsia="zh-CN"/>
              </w:rPr>
            </w:pPr>
            <w:r>
              <w:rPr>
                <w:sz w:val="18"/>
                <w:lang w:eastAsia="zh-CN"/>
              </w:rPr>
              <w:t>文献范围或敏感性情景</w:t>
            </w:r>
          </w:p>
        </w:tc>
      </w:tr>
      <w:tr w:rsidR="00E40EC2" w14:paraId="49760C89" w14:textId="77777777" w:rsidTr="001A5D8A">
        <w:trPr>
          <w:jc w:val="center"/>
        </w:trPr>
        <w:tc>
          <w:tcPr>
            <w:tcW w:w="0" w:type="auto"/>
            <w:tcMar>
              <w:top w:w="100" w:type="dxa"/>
              <w:left w:w="120" w:type="dxa"/>
              <w:bottom w:w="100" w:type="dxa"/>
              <w:right w:w="120" w:type="dxa"/>
            </w:tcMar>
            <w:vAlign w:val="center"/>
          </w:tcPr>
          <w:p w14:paraId="145BC25D" w14:textId="77777777" w:rsidR="00E40EC2" w:rsidRDefault="00000000">
            <w:pPr>
              <w:spacing w:line="288" w:lineRule="auto"/>
            </w:pPr>
            <w:r>
              <w:rPr>
                <w:sz w:val="18"/>
              </w:rPr>
              <w:t>CI预测ₜ</w:t>
            </w:r>
          </w:p>
        </w:tc>
        <w:tc>
          <w:tcPr>
            <w:tcW w:w="0" w:type="auto"/>
            <w:tcMar>
              <w:top w:w="100" w:type="dxa"/>
              <w:left w:w="120" w:type="dxa"/>
              <w:bottom w:w="100" w:type="dxa"/>
              <w:right w:w="120" w:type="dxa"/>
            </w:tcMar>
            <w:vAlign w:val="center"/>
          </w:tcPr>
          <w:p w14:paraId="1F3C3278" w14:textId="77777777" w:rsidR="00E40EC2" w:rsidRDefault="00000000">
            <w:pPr>
              <w:spacing w:line="288" w:lineRule="auto"/>
              <w:rPr>
                <w:lang w:eastAsia="zh-CN"/>
              </w:rPr>
            </w:pPr>
            <w:r>
              <w:rPr>
                <w:sz w:val="18"/>
                <w:lang w:eastAsia="zh-CN"/>
              </w:rPr>
              <w:t>预测电网碳强度（gCO₂/kWh）</w:t>
            </w:r>
          </w:p>
        </w:tc>
        <w:tc>
          <w:tcPr>
            <w:tcW w:w="0" w:type="auto"/>
            <w:tcMar>
              <w:top w:w="100" w:type="dxa"/>
              <w:left w:w="120" w:type="dxa"/>
              <w:bottom w:w="100" w:type="dxa"/>
              <w:right w:w="120" w:type="dxa"/>
            </w:tcMar>
            <w:vAlign w:val="center"/>
          </w:tcPr>
          <w:p w14:paraId="6368E069" w14:textId="77777777" w:rsidR="00E40EC2" w:rsidRDefault="00000000">
            <w:pPr>
              <w:spacing w:line="288" w:lineRule="auto"/>
            </w:pPr>
            <w:r>
              <w:rPr>
                <w:sz w:val="18"/>
              </w:rPr>
              <w:t>预测层</w:t>
            </w:r>
          </w:p>
        </w:tc>
      </w:tr>
      <w:tr w:rsidR="00E40EC2" w14:paraId="3837BF80" w14:textId="77777777" w:rsidTr="001A5D8A">
        <w:trPr>
          <w:jc w:val="center"/>
        </w:trPr>
        <w:tc>
          <w:tcPr>
            <w:tcW w:w="0" w:type="auto"/>
            <w:tcMar>
              <w:top w:w="100" w:type="dxa"/>
              <w:left w:w="120" w:type="dxa"/>
              <w:bottom w:w="100" w:type="dxa"/>
              <w:right w:w="120" w:type="dxa"/>
            </w:tcMar>
            <w:vAlign w:val="center"/>
          </w:tcPr>
          <w:p w14:paraId="50CBCF4A" w14:textId="77777777" w:rsidR="00E40EC2" w:rsidRDefault="00000000">
            <w:pPr>
              <w:spacing w:line="288" w:lineRule="auto"/>
            </w:pPr>
            <w:r>
              <w:rPr>
                <w:sz w:val="18"/>
              </w:rPr>
              <w:t>R预测ₜ</w:t>
            </w:r>
          </w:p>
        </w:tc>
        <w:tc>
          <w:tcPr>
            <w:tcW w:w="0" w:type="auto"/>
            <w:tcMar>
              <w:top w:w="100" w:type="dxa"/>
              <w:left w:w="120" w:type="dxa"/>
              <w:bottom w:w="100" w:type="dxa"/>
              <w:right w:w="120" w:type="dxa"/>
            </w:tcMar>
            <w:vAlign w:val="center"/>
          </w:tcPr>
          <w:p w14:paraId="35DC3CD3" w14:textId="77777777" w:rsidR="00E40EC2" w:rsidRDefault="00000000">
            <w:pPr>
              <w:spacing w:line="288" w:lineRule="auto"/>
            </w:pPr>
            <w:r>
              <w:rPr>
                <w:sz w:val="18"/>
              </w:rPr>
              <w:t>预测清洁电力占比</w:t>
            </w:r>
          </w:p>
        </w:tc>
        <w:tc>
          <w:tcPr>
            <w:tcW w:w="0" w:type="auto"/>
            <w:tcMar>
              <w:top w:w="100" w:type="dxa"/>
              <w:left w:w="120" w:type="dxa"/>
              <w:bottom w:w="100" w:type="dxa"/>
              <w:right w:w="120" w:type="dxa"/>
            </w:tcMar>
            <w:vAlign w:val="center"/>
          </w:tcPr>
          <w:p w14:paraId="5D16368E" w14:textId="77777777" w:rsidR="00E40EC2" w:rsidRDefault="00000000">
            <w:pPr>
              <w:spacing w:line="288" w:lineRule="auto"/>
            </w:pPr>
            <w:r>
              <w:rPr>
                <w:sz w:val="18"/>
              </w:rPr>
              <w:t>Electricity Maps信号或由能源结构计算</w:t>
            </w:r>
          </w:p>
        </w:tc>
      </w:tr>
      <w:tr w:rsidR="00E40EC2" w14:paraId="569D490E" w14:textId="77777777" w:rsidTr="001A5D8A">
        <w:trPr>
          <w:jc w:val="center"/>
        </w:trPr>
        <w:tc>
          <w:tcPr>
            <w:tcW w:w="0" w:type="auto"/>
            <w:tcMar>
              <w:top w:w="100" w:type="dxa"/>
              <w:left w:w="120" w:type="dxa"/>
              <w:bottom w:w="100" w:type="dxa"/>
              <w:right w:w="120" w:type="dxa"/>
            </w:tcMar>
            <w:vAlign w:val="center"/>
          </w:tcPr>
          <w:p w14:paraId="4DBA6A24" w14:textId="77777777" w:rsidR="00E40EC2" w:rsidRDefault="00000000">
            <w:pPr>
              <w:spacing w:line="288" w:lineRule="auto"/>
            </w:pPr>
            <w:r>
              <w:rPr>
                <w:sz w:val="18"/>
              </w:rPr>
              <w:t>L预测ₜ</w:t>
            </w:r>
          </w:p>
        </w:tc>
        <w:tc>
          <w:tcPr>
            <w:tcW w:w="0" w:type="auto"/>
            <w:tcMar>
              <w:top w:w="100" w:type="dxa"/>
              <w:left w:w="120" w:type="dxa"/>
              <w:bottom w:w="100" w:type="dxa"/>
              <w:right w:w="120" w:type="dxa"/>
            </w:tcMar>
            <w:vAlign w:val="center"/>
          </w:tcPr>
          <w:p w14:paraId="0386BC5A" w14:textId="77777777" w:rsidR="00E40EC2" w:rsidRDefault="00000000">
            <w:pPr>
              <w:spacing w:line="288" w:lineRule="auto"/>
            </w:pPr>
            <w:r>
              <w:rPr>
                <w:sz w:val="18"/>
              </w:rPr>
              <w:t>预测电网负荷</w:t>
            </w:r>
          </w:p>
        </w:tc>
        <w:tc>
          <w:tcPr>
            <w:tcW w:w="0" w:type="auto"/>
            <w:tcMar>
              <w:top w:w="100" w:type="dxa"/>
              <w:left w:w="120" w:type="dxa"/>
              <w:bottom w:w="100" w:type="dxa"/>
              <w:right w:w="120" w:type="dxa"/>
            </w:tcMar>
            <w:vAlign w:val="center"/>
          </w:tcPr>
          <w:p w14:paraId="62F470EE" w14:textId="77777777" w:rsidR="00E40EC2" w:rsidRDefault="00000000">
            <w:pPr>
              <w:spacing w:line="288" w:lineRule="auto"/>
            </w:pPr>
            <w:r>
              <w:rPr>
                <w:sz w:val="18"/>
              </w:rPr>
              <w:t>总负荷/净负荷信号</w:t>
            </w:r>
          </w:p>
        </w:tc>
      </w:tr>
      <w:tr w:rsidR="00E40EC2" w14:paraId="2AE5C584" w14:textId="77777777" w:rsidTr="001A5D8A">
        <w:trPr>
          <w:jc w:val="center"/>
        </w:trPr>
        <w:tc>
          <w:tcPr>
            <w:tcW w:w="0" w:type="auto"/>
            <w:tcMar>
              <w:top w:w="100" w:type="dxa"/>
              <w:left w:w="120" w:type="dxa"/>
              <w:bottom w:w="100" w:type="dxa"/>
              <w:right w:w="120" w:type="dxa"/>
            </w:tcMar>
            <w:vAlign w:val="center"/>
          </w:tcPr>
          <w:p w14:paraId="6B087BD2" w14:textId="77777777" w:rsidR="00E40EC2" w:rsidRDefault="00000000">
            <w:pPr>
              <w:spacing w:line="288" w:lineRule="auto"/>
            </w:pPr>
            <w:r>
              <w:rPr>
                <w:sz w:val="18"/>
              </w:rPr>
              <w:t>p高碳,ₜ</w:t>
            </w:r>
          </w:p>
        </w:tc>
        <w:tc>
          <w:tcPr>
            <w:tcW w:w="0" w:type="auto"/>
            <w:tcMar>
              <w:top w:w="100" w:type="dxa"/>
              <w:left w:w="120" w:type="dxa"/>
              <w:bottom w:w="100" w:type="dxa"/>
              <w:right w:w="120" w:type="dxa"/>
            </w:tcMar>
            <w:vAlign w:val="center"/>
          </w:tcPr>
          <w:p w14:paraId="3F830A0B" w14:textId="77777777" w:rsidR="00E40EC2" w:rsidRDefault="00000000">
            <w:pPr>
              <w:spacing w:line="288" w:lineRule="auto"/>
              <w:rPr>
                <w:lang w:eastAsia="zh-CN"/>
              </w:rPr>
            </w:pPr>
            <w:r>
              <w:rPr>
                <w:sz w:val="18"/>
                <w:lang w:eastAsia="zh-CN"/>
              </w:rPr>
              <w:t>高碳状态或高碳事件概率</w:t>
            </w:r>
          </w:p>
        </w:tc>
        <w:tc>
          <w:tcPr>
            <w:tcW w:w="0" w:type="auto"/>
            <w:tcMar>
              <w:top w:w="100" w:type="dxa"/>
              <w:left w:w="120" w:type="dxa"/>
              <w:bottom w:w="100" w:type="dxa"/>
              <w:right w:w="120" w:type="dxa"/>
            </w:tcMar>
            <w:vAlign w:val="center"/>
          </w:tcPr>
          <w:p w14:paraId="2125316C" w14:textId="77777777" w:rsidR="00E40EC2" w:rsidRDefault="00000000">
            <w:pPr>
              <w:spacing w:line="288" w:lineRule="auto"/>
              <w:rPr>
                <w:lang w:eastAsia="zh-CN"/>
              </w:rPr>
            </w:pPr>
            <w:r>
              <w:rPr>
                <w:sz w:val="18"/>
                <w:lang w:eastAsia="zh-CN"/>
              </w:rPr>
              <w:t>B5与因果HMM状态信息</w:t>
            </w:r>
          </w:p>
        </w:tc>
      </w:tr>
      <w:tr w:rsidR="00E40EC2" w14:paraId="7A1FCCA9" w14:textId="77777777" w:rsidTr="001A5D8A">
        <w:trPr>
          <w:jc w:val="center"/>
        </w:trPr>
        <w:tc>
          <w:tcPr>
            <w:tcW w:w="0" w:type="auto"/>
            <w:tcMar>
              <w:top w:w="100" w:type="dxa"/>
              <w:left w:w="120" w:type="dxa"/>
              <w:bottom w:w="100" w:type="dxa"/>
              <w:right w:w="120" w:type="dxa"/>
            </w:tcMar>
            <w:vAlign w:val="center"/>
          </w:tcPr>
          <w:p w14:paraId="4BD72528" w14:textId="77777777" w:rsidR="00E40EC2" w:rsidRDefault="00000000">
            <w:pPr>
              <w:spacing w:line="288" w:lineRule="auto"/>
            </w:pPr>
            <w:r>
              <w:rPr>
                <w:sz w:val="18"/>
              </w:rPr>
              <w:t>B, ρ, L^cap</w:t>
            </w:r>
          </w:p>
        </w:tc>
        <w:tc>
          <w:tcPr>
            <w:tcW w:w="0" w:type="auto"/>
            <w:tcMar>
              <w:top w:w="100" w:type="dxa"/>
              <w:left w:w="120" w:type="dxa"/>
              <w:bottom w:w="100" w:type="dxa"/>
              <w:right w:w="120" w:type="dxa"/>
            </w:tcMar>
            <w:vAlign w:val="center"/>
          </w:tcPr>
          <w:p w14:paraId="17B93EF5" w14:textId="77777777" w:rsidR="00E40EC2" w:rsidRDefault="00000000">
            <w:pPr>
              <w:spacing w:line="288" w:lineRule="auto"/>
              <w:rPr>
                <w:lang w:eastAsia="zh-CN"/>
              </w:rPr>
            </w:pPr>
            <w:r>
              <w:rPr>
                <w:sz w:val="18"/>
                <w:lang w:eastAsia="zh-CN"/>
              </w:rPr>
              <w:t>碳预算、清洁电力匹配目标、电网负荷阈值</w:t>
            </w:r>
          </w:p>
        </w:tc>
        <w:tc>
          <w:tcPr>
            <w:tcW w:w="0" w:type="auto"/>
            <w:tcMar>
              <w:top w:w="100" w:type="dxa"/>
              <w:left w:w="120" w:type="dxa"/>
              <w:bottom w:w="100" w:type="dxa"/>
              <w:right w:w="120" w:type="dxa"/>
            </w:tcMar>
            <w:vAlign w:val="center"/>
          </w:tcPr>
          <w:p w14:paraId="38B10529" w14:textId="77777777" w:rsidR="00E40EC2" w:rsidRDefault="00000000">
            <w:pPr>
              <w:spacing w:line="288" w:lineRule="auto"/>
            </w:pPr>
            <w:r>
              <w:rPr>
                <w:sz w:val="18"/>
              </w:rPr>
              <w:t>政策/企业情景参数</w:t>
            </w:r>
          </w:p>
        </w:tc>
      </w:tr>
    </w:tbl>
    <w:p w14:paraId="30FB5646" w14:textId="77777777" w:rsidR="00E40EC2" w:rsidRDefault="00E40EC2">
      <w:pPr>
        <w:spacing w:after="40"/>
      </w:pPr>
    </w:p>
    <w:p w14:paraId="35297E0B" w14:textId="77777777" w:rsidR="00E40EC2" w:rsidRDefault="00000000">
      <w:pPr>
        <w:keepNext/>
        <w:spacing w:before="220" w:after="100"/>
      </w:pPr>
      <w:r>
        <w:rPr>
          <w:b/>
          <w:sz w:val="25"/>
        </w:rPr>
        <w:t>5.2 容量规划模型</w:t>
      </w:r>
    </w:p>
    <w:p w14:paraId="13D531D5" w14:textId="77777777" w:rsidR="00E40EC2" w:rsidRDefault="00000000">
      <w:pPr>
        <w:spacing w:after="120" w:line="307" w:lineRule="auto"/>
        <w:ind w:firstLine="420"/>
        <w:jc w:val="both"/>
        <w:rPr>
          <w:lang w:eastAsia="zh-CN"/>
        </w:rPr>
      </w:pPr>
      <w:r>
        <w:rPr>
          <w:lang w:eastAsia="zh-CN"/>
        </w:rPr>
        <w:t>以未来H小时为规划窗口，容量层优先使用易解释的线性模型。目标是在满足环境与负荷约束的前提下，尽量承接AI需求；若只需要预警而不需要最优分配，可将该模型简化为逐时安全上限规则。</w:t>
      </w:r>
    </w:p>
    <w:p w14:paraId="74E576F1" w14:textId="77777777" w:rsidR="00E40EC2" w:rsidRDefault="00000000">
      <w:pPr>
        <w:spacing w:before="40" w:after="100"/>
        <w:jc w:val="center"/>
      </w:pPr>
      <w:r>
        <w:t>max  Σₜ₌₁ᴴ wₜCₜ − λΣₜ₌₁ᴴ p高碳,ₜCₜ</w:t>
      </w:r>
    </w:p>
    <w:p w14:paraId="2210EF18" w14:textId="77777777" w:rsidR="00E40EC2" w:rsidRDefault="00000000">
      <w:pPr>
        <w:spacing w:before="40" w:after="100"/>
        <w:jc w:val="center"/>
        <w:rPr>
          <w:lang w:eastAsia="zh-CN"/>
        </w:rPr>
      </w:pPr>
      <w:r>
        <w:rPr>
          <w:lang w:eastAsia="zh-CN"/>
        </w:rPr>
        <w:t xml:space="preserve">约束：0 ≤ Cₜ ≤ Dₜ；L预测ₜ + </w:t>
      </w:r>
      <w:r>
        <w:t>η</w:t>
      </w:r>
      <w:r>
        <w:rPr>
          <w:lang w:eastAsia="zh-CN"/>
        </w:rPr>
        <w:t>Cₜ ≤ L_cap；</w:t>
      </w:r>
      <w:r>
        <w:t>Σ</w:t>
      </w:r>
      <w:r>
        <w:rPr>
          <w:lang w:eastAsia="zh-CN"/>
        </w:rPr>
        <w:t>CI预测ₜ</w:t>
      </w:r>
      <w:r>
        <w:t>η</w:t>
      </w:r>
      <w:r>
        <w:rPr>
          <w:lang w:eastAsia="zh-CN"/>
        </w:rPr>
        <w:t>Cₜ ≤ B；</w:t>
      </w:r>
      <w:r>
        <w:t>Σ</w:t>
      </w:r>
      <w:r>
        <w:rPr>
          <w:lang w:eastAsia="zh-CN"/>
        </w:rPr>
        <w:t>R预测ₜ</w:t>
      </w:r>
      <w:r>
        <w:t>η</w:t>
      </w:r>
      <w:r>
        <w:rPr>
          <w:lang w:eastAsia="zh-CN"/>
        </w:rPr>
        <w:t xml:space="preserve">Cₜ / </w:t>
      </w:r>
      <w:r>
        <w:t>Ση</w:t>
      </w:r>
      <w:r>
        <w:rPr>
          <w:lang w:eastAsia="zh-CN"/>
        </w:rPr>
        <w:t xml:space="preserve">Cₜ ≥ </w:t>
      </w:r>
      <w:r>
        <w:t>ρ</w:t>
      </w:r>
    </w:p>
    <w:p w14:paraId="7EB122CA" w14:textId="77777777" w:rsidR="00E40EC2" w:rsidRDefault="00000000">
      <w:pPr>
        <w:spacing w:after="120" w:line="307" w:lineRule="auto"/>
        <w:ind w:firstLine="420"/>
        <w:jc w:val="both"/>
        <w:rPr>
          <w:lang w:eastAsia="zh-CN"/>
        </w:rPr>
      </w:pPr>
      <w:r>
        <w:rPr>
          <w:lang w:eastAsia="zh-CN"/>
        </w:rPr>
        <w:t>其中w_t表示业务优先级或需求权重，</w:t>
      </w:r>
      <w:r>
        <w:t>λ</w:t>
      </w:r>
      <w:r>
        <w:rPr>
          <w:lang w:eastAsia="zh-CN"/>
        </w:rPr>
        <w:t>为高碳风险惩罚。模型输出的C_t不是命令任务在t时刻运行，而是“若业务需要新增AI计算，t时段最多建议开放多少容量”。若不掌握D_t，可令D_t为预设容量需求曲线，输出仍可作为数据中心的绿色容量边界。</w:t>
      </w:r>
    </w:p>
    <w:p w14:paraId="6C908CA0" w14:textId="77777777" w:rsidR="00E40EC2" w:rsidRDefault="00000000">
      <w:pPr>
        <w:keepNext/>
        <w:spacing w:before="220" w:after="100"/>
        <w:rPr>
          <w:lang w:eastAsia="zh-CN"/>
        </w:rPr>
      </w:pPr>
      <w:r>
        <w:rPr>
          <w:b/>
          <w:sz w:val="25"/>
          <w:lang w:eastAsia="zh-CN"/>
        </w:rPr>
        <w:t>5.3 风险缓冲与预测不确定性</w:t>
      </w:r>
    </w:p>
    <w:p w14:paraId="006FD00A" w14:textId="77777777" w:rsidR="00E40EC2" w:rsidRDefault="00000000">
      <w:pPr>
        <w:spacing w:after="120" w:line="307" w:lineRule="auto"/>
        <w:ind w:firstLine="420"/>
        <w:jc w:val="both"/>
        <w:rPr>
          <w:lang w:eastAsia="zh-CN"/>
        </w:rPr>
      </w:pPr>
      <w:r>
        <w:rPr>
          <w:lang w:eastAsia="zh-CN"/>
        </w:rPr>
        <w:t>为避免只依据点预测而造成预算偏差，采用保守容量修正：C安全,ₜ=Cₜ·(1−</w:t>
      </w:r>
      <w:r>
        <w:t>γ</w:t>
      </w:r>
      <w:r>
        <w:rPr>
          <w:lang w:eastAsia="zh-CN"/>
        </w:rPr>
        <w:t>p高碳,ₜ)，其中</w:t>
      </w:r>
      <w:r>
        <w:t>γ</w:t>
      </w:r>
      <w:r>
        <w:rPr>
          <w:lang w:eastAsia="zh-CN"/>
        </w:rPr>
        <w:t>∈[0,1]通过验证集或情景实验确定。进一步可将碳强度点预测替换为上分位预测，或在预算约束中加入误差缓冲</w:t>
      </w:r>
      <w:r>
        <w:t>δ</w:t>
      </w:r>
      <w:r>
        <w:rPr>
          <w:lang w:eastAsia="zh-CN"/>
        </w:rPr>
        <w:t>。该处理不要求构建复杂的随机优化模型，却能直接检验预警在预测误差下的稳健性。</w:t>
      </w:r>
    </w:p>
    <w:p w14:paraId="5C8CB120" w14:textId="77777777" w:rsidR="00E40EC2" w:rsidRDefault="00000000">
      <w:pPr>
        <w:keepNext/>
        <w:spacing w:before="320" w:after="160"/>
        <w:rPr>
          <w:lang w:eastAsia="zh-CN"/>
        </w:rPr>
      </w:pPr>
      <w:r>
        <w:rPr>
          <w:b/>
          <w:sz w:val="30"/>
          <w:lang w:eastAsia="zh-CN"/>
        </w:rPr>
        <w:t>六、预警层：三类风险与输出形式</w:t>
      </w:r>
    </w:p>
    <w:tbl>
      <w:tblPr>
        <w:tblStyle w:val="aff1"/>
        <w:tblW w:w="0" w:type="auto"/>
        <w:jc w:val="center"/>
        <w:tblLook w:val="04A0" w:firstRow="1" w:lastRow="0" w:firstColumn="1" w:lastColumn="0" w:noHBand="0" w:noVBand="1"/>
      </w:tblPr>
      <w:tblGrid>
        <w:gridCol w:w="1181"/>
        <w:gridCol w:w="2588"/>
        <w:gridCol w:w="3027"/>
        <w:gridCol w:w="2572"/>
      </w:tblGrid>
      <w:tr w:rsidR="00E40EC2" w14:paraId="3CBA5B68" w14:textId="77777777" w:rsidTr="001A5D8A">
        <w:trPr>
          <w:tblHeader/>
          <w:jc w:val="center"/>
        </w:trPr>
        <w:tc>
          <w:tcPr>
            <w:tcW w:w="0" w:type="auto"/>
            <w:tcMar>
              <w:top w:w="100" w:type="dxa"/>
              <w:left w:w="120" w:type="dxa"/>
              <w:bottom w:w="100" w:type="dxa"/>
              <w:right w:w="120" w:type="dxa"/>
            </w:tcMar>
            <w:vAlign w:val="center"/>
          </w:tcPr>
          <w:p w14:paraId="1C73F9E3" w14:textId="77777777" w:rsidR="00E40EC2" w:rsidRDefault="00000000">
            <w:pPr>
              <w:spacing w:line="288" w:lineRule="auto"/>
              <w:jc w:val="center"/>
            </w:pPr>
            <w:r>
              <w:rPr>
                <w:b/>
                <w:sz w:val="19"/>
              </w:rPr>
              <w:t>预警</w:t>
            </w:r>
          </w:p>
        </w:tc>
        <w:tc>
          <w:tcPr>
            <w:tcW w:w="0" w:type="auto"/>
            <w:tcMar>
              <w:top w:w="100" w:type="dxa"/>
              <w:left w:w="120" w:type="dxa"/>
              <w:bottom w:w="100" w:type="dxa"/>
              <w:right w:w="120" w:type="dxa"/>
            </w:tcMar>
            <w:vAlign w:val="center"/>
          </w:tcPr>
          <w:p w14:paraId="28462F91" w14:textId="77777777" w:rsidR="00E40EC2" w:rsidRDefault="00000000">
            <w:pPr>
              <w:spacing w:line="288" w:lineRule="auto"/>
              <w:jc w:val="center"/>
            </w:pPr>
            <w:r>
              <w:rPr>
                <w:b/>
                <w:sz w:val="19"/>
              </w:rPr>
              <w:t>触发条件</w:t>
            </w:r>
          </w:p>
        </w:tc>
        <w:tc>
          <w:tcPr>
            <w:tcW w:w="0" w:type="auto"/>
            <w:tcMar>
              <w:top w:w="100" w:type="dxa"/>
              <w:left w:w="120" w:type="dxa"/>
              <w:bottom w:w="100" w:type="dxa"/>
              <w:right w:w="120" w:type="dxa"/>
            </w:tcMar>
            <w:vAlign w:val="center"/>
          </w:tcPr>
          <w:p w14:paraId="279B86B3" w14:textId="77777777" w:rsidR="00E40EC2" w:rsidRDefault="00000000">
            <w:pPr>
              <w:spacing w:line="288" w:lineRule="auto"/>
              <w:jc w:val="center"/>
            </w:pPr>
            <w:r>
              <w:rPr>
                <w:b/>
                <w:sz w:val="19"/>
              </w:rPr>
              <w:t>业务含义</w:t>
            </w:r>
          </w:p>
        </w:tc>
        <w:tc>
          <w:tcPr>
            <w:tcW w:w="0" w:type="auto"/>
            <w:tcMar>
              <w:top w:w="100" w:type="dxa"/>
              <w:left w:w="120" w:type="dxa"/>
              <w:bottom w:w="100" w:type="dxa"/>
              <w:right w:w="120" w:type="dxa"/>
            </w:tcMar>
            <w:vAlign w:val="center"/>
          </w:tcPr>
          <w:p w14:paraId="148B3D46" w14:textId="77777777" w:rsidR="00E40EC2" w:rsidRDefault="00000000">
            <w:pPr>
              <w:spacing w:line="288" w:lineRule="auto"/>
              <w:jc w:val="center"/>
            </w:pPr>
            <w:r>
              <w:rPr>
                <w:b/>
                <w:sz w:val="19"/>
              </w:rPr>
              <w:t>建议输出</w:t>
            </w:r>
          </w:p>
        </w:tc>
      </w:tr>
      <w:tr w:rsidR="00E40EC2" w14:paraId="1B94CAEB" w14:textId="77777777" w:rsidTr="001A5D8A">
        <w:trPr>
          <w:jc w:val="center"/>
        </w:trPr>
        <w:tc>
          <w:tcPr>
            <w:tcW w:w="0" w:type="auto"/>
            <w:tcMar>
              <w:top w:w="100" w:type="dxa"/>
              <w:left w:w="120" w:type="dxa"/>
              <w:bottom w:w="100" w:type="dxa"/>
              <w:right w:w="120" w:type="dxa"/>
            </w:tcMar>
            <w:vAlign w:val="center"/>
          </w:tcPr>
          <w:p w14:paraId="5451685E" w14:textId="77777777" w:rsidR="00E40EC2" w:rsidRDefault="00000000">
            <w:pPr>
              <w:spacing w:line="288" w:lineRule="auto"/>
            </w:pPr>
            <w:r>
              <w:rPr>
                <w:sz w:val="18"/>
              </w:rPr>
              <w:t>碳预算超限</w:t>
            </w:r>
          </w:p>
        </w:tc>
        <w:tc>
          <w:tcPr>
            <w:tcW w:w="0" w:type="auto"/>
            <w:tcMar>
              <w:top w:w="100" w:type="dxa"/>
              <w:left w:w="120" w:type="dxa"/>
              <w:bottom w:w="100" w:type="dxa"/>
              <w:right w:w="120" w:type="dxa"/>
            </w:tcMar>
            <w:vAlign w:val="center"/>
          </w:tcPr>
          <w:p w14:paraId="521DB1D8" w14:textId="77777777" w:rsidR="00E40EC2" w:rsidRDefault="00000000">
            <w:pPr>
              <w:spacing w:line="288" w:lineRule="auto"/>
              <w:rPr>
                <w:lang w:eastAsia="zh-CN"/>
              </w:rPr>
            </w:pPr>
            <w:r>
              <w:rPr>
                <w:sz w:val="18"/>
                <w:lang w:eastAsia="zh-CN"/>
              </w:rPr>
              <w:t xml:space="preserve">累计预测排放 </w:t>
            </w:r>
            <w:r>
              <w:rPr>
                <w:sz w:val="18"/>
              </w:rPr>
              <w:t>Σ</w:t>
            </w:r>
            <w:r>
              <w:rPr>
                <w:sz w:val="18"/>
                <w:lang w:eastAsia="zh-CN"/>
              </w:rPr>
              <w:t>CI预测ₜ</w:t>
            </w:r>
            <w:r>
              <w:rPr>
                <w:sz w:val="18"/>
              </w:rPr>
              <w:t>η</w:t>
            </w:r>
            <w:r>
              <w:rPr>
                <w:sz w:val="18"/>
                <w:lang w:eastAsia="zh-CN"/>
              </w:rPr>
              <w:t>Cₜ &gt; B</w:t>
            </w:r>
          </w:p>
        </w:tc>
        <w:tc>
          <w:tcPr>
            <w:tcW w:w="0" w:type="auto"/>
            <w:tcMar>
              <w:top w:w="100" w:type="dxa"/>
              <w:left w:w="120" w:type="dxa"/>
              <w:bottom w:w="100" w:type="dxa"/>
              <w:right w:w="120" w:type="dxa"/>
            </w:tcMar>
            <w:vAlign w:val="center"/>
          </w:tcPr>
          <w:p w14:paraId="583C8130" w14:textId="77777777" w:rsidR="00E40EC2" w:rsidRDefault="00000000">
            <w:pPr>
              <w:spacing w:line="288" w:lineRule="auto"/>
              <w:rPr>
                <w:lang w:eastAsia="zh-CN"/>
              </w:rPr>
            </w:pPr>
            <w:r>
              <w:rPr>
                <w:sz w:val="18"/>
                <w:lang w:eastAsia="zh-CN"/>
              </w:rPr>
              <w:t>当前容量计划无法满足预算</w:t>
            </w:r>
          </w:p>
        </w:tc>
        <w:tc>
          <w:tcPr>
            <w:tcW w:w="0" w:type="auto"/>
            <w:tcMar>
              <w:top w:w="100" w:type="dxa"/>
              <w:left w:w="120" w:type="dxa"/>
              <w:bottom w:w="100" w:type="dxa"/>
              <w:right w:w="120" w:type="dxa"/>
            </w:tcMar>
            <w:vAlign w:val="center"/>
          </w:tcPr>
          <w:p w14:paraId="2434E07C" w14:textId="77777777" w:rsidR="00E40EC2" w:rsidRDefault="00000000">
            <w:pPr>
              <w:spacing w:line="288" w:lineRule="auto"/>
              <w:rPr>
                <w:lang w:eastAsia="zh-CN"/>
              </w:rPr>
            </w:pPr>
            <w:r>
              <w:rPr>
                <w:sz w:val="18"/>
                <w:lang w:eastAsia="zh-CN"/>
              </w:rPr>
              <w:t>超限时间、超限量、建议削减比例</w:t>
            </w:r>
          </w:p>
        </w:tc>
      </w:tr>
      <w:tr w:rsidR="00E40EC2" w14:paraId="722C571D" w14:textId="77777777" w:rsidTr="001A5D8A">
        <w:trPr>
          <w:jc w:val="center"/>
        </w:trPr>
        <w:tc>
          <w:tcPr>
            <w:tcW w:w="0" w:type="auto"/>
            <w:tcMar>
              <w:top w:w="100" w:type="dxa"/>
              <w:left w:w="120" w:type="dxa"/>
              <w:bottom w:w="100" w:type="dxa"/>
              <w:right w:w="120" w:type="dxa"/>
            </w:tcMar>
            <w:vAlign w:val="center"/>
          </w:tcPr>
          <w:p w14:paraId="363952FE" w14:textId="77777777" w:rsidR="00E40EC2" w:rsidRDefault="00000000">
            <w:pPr>
              <w:spacing w:line="288" w:lineRule="auto"/>
            </w:pPr>
            <w:r>
              <w:rPr>
                <w:sz w:val="18"/>
              </w:rPr>
              <w:t>清洁匹配不足</w:t>
            </w:r>
          </w:p>
        </w:tc>
        <w:tc>
          <w:tcPr>
            <w:tcW w:w="0" w:type="auto"/>
            <w:tcMar>
              <w:top w:w="100" w:type="dxa"/>
              <w:left w:w="120" w:type="dxa"/>
              <w:bottom w:w="100" w:type="dxa"/>
              <w:right w:w="120" w:type="dxa"/>
            </w:tcMar>
            <w:vAlign w:val="center"/>
          </w:tcPr>
          <w:p w14:paraId="5031A7E6" w14:textId="77777777" w:rsidR="00E40EC2" w:rsidRDefault="00000000">
            <w:pPr>
              <w:spacing w:line="288" w:lineRule="auto"/>
              <w:rPr>
                <w:lang w:eastAsia="zh-CN"/>
              </w:rPr>
            </w:pPr>
            <w:r>
              <w:rPr>
                <w:sz w:val="18"/>
                <w:lang w:eastAsia="zh-CN"/>
              </w:rPr>
              <w:t xml:space="preserve">时间匹配清洁电力暴露比例 &lt; </w:t>
            </w:r>
            <w:r>
              <w:rPr>
                <w:sz w:val="18"/>
              </w:rPr>
              <w:t>ρ</w:t>
            </w:r>
          </w:p>
        </w:tc>
        <w:tc>
          <w:tcPr>
            <w:tcW w:w="0" w:type="auto"/>
            <w:tcMar>
              <w:top w:w="100" w:type="dxa"/>
              <w:left w:w="120" w:type="dxa"/>
              <w:bottom w:w="100" w:type="dxa"/>
              <w:right w:w="120" w:type="dxa"/>
            </w:tcMar>
            <w:vAlign w:val="center"/>
          </w:tcPr>
          <w:p w14:paraId="1C03034A" w14:textId="77777777" w:rsidR="00E40EC2" w:rsidRDefault="00000000">
            <w:pPr>
              <w:spacing w:line="288" w:lineRule="auto"/>
              <w:rPr>
                <w:lang w:eastAsia="zh-CN"/>
              </w:rPr>
            </w:pPr>
            <w:r>
              <w:rPr>
                <w:sz w:val="18"/>
                <w:lang w:eastAsia="zh-CN"/>
              </w:rPr>
              <w:t>AI负荷与较高清洁电力时段匹配不足</w:t>
            </w:r>
          </w:p>
        </w:tc>
        <w:tc>
          <w:tcPr>
            <w:tcW w:w="0" w:type="auto"/>
            <w:tcMar>
              <w:top w:w="100" w:type="dxa"/>
              <w:left w:w="120" w:type="dxa"/>
              <w:bottom w:w="100" w:type="dxa"/>
              <w:right w:w="120" w:type="dxa"/>
            </w:tcMar>
            <w:vAlign w:val="center"/>
          </w:tcPr>
          <w:p w14:paraId="3AA1F477" w14:textId="77777777" w:rsidR="00E40EC2" w:rsidRDefault="00000000">
            <w:pPr>
              <w:spacing w:line="288" w:lineRule="auto"/>
              <w:rPr>
                <w:lang w:eastAsia="zh-CN"/>
              </w:rPr>
            </w:pPr>
            <w:r>
              <w:rPr>
                <w:sz w:val="18"/>
                <w:lang w:eastAsia="zh-CN"/>
              </w:rPr>
              <w:t>缺口、主要风险小时、目标达成率</w:t>
            </w:r>
          </w:p>
        </w:tc>
      </w:tr>
      <w:tr w:rsidR="00E40EC2" w14:paraId="6B34319D" w14:textId="77777777" w:rsidTr="001A5D8A">
        <w:trPr>
          <w:jc w:val="center"/>
        </w:trPr>
        <w:tc>
          <w:tcPr>
            <w:tcW w:w="0" w:type="auto"/>
            <w:tcMar>
              <w:top w:w="100" w:type="dxa"/>
              <w:left w:w="120" w:type="dxa"/>
              <w:bottom w:w="100" w:type="dxa"/>
              <w:right w:w="120" w:type="dxa"/>
            </w:tcMar>
            <w:vAlign w:val="center"/>
          </w:tcPr>
          <w:p w14:paraId="2A16E43B" w14:textId="77777777" w:rsidR="00E40EC2" w:rsidRDefault="00000000">
            <w:pPr>
              <w:spacing w:line="288" w:lineRule="auto"/>
            </w:pPr>
            <w:r>
              <w:rPr>
                <w:sz w:val="18"/>
              </w:rPr>
              <w:t>峰值压力</w:t>
            </w:r>
          </w:p>
        </w:tc>
        <w:tc>
          <w:tcPr>
            <w:tcW w:w="0" w:type="auto"/>
            <w:tcMar>
              <w:top w:w="100" w:type="dxa"/>
              <w:left w:w="120" w:type="dxa"/>
              <w:bottom w:w="100" w:type="dxa"/>
              <w:right w:w="120" w:type="dxa"/>
            </w:tcMar>
            <w:vAlign w:val="center"/>
          </w:tcPr>
          <w:p w14:paraId="4B3E661A" w14:textId="77777777" w:rsidR="00E40EC2" w:rsidRDefault="00000000">
            <w:pPr>
              <w:spacing w:line="288" w:lineRule="auto"/>
              <w:rPr>
                <w:lang w:eastAsia="zh-CN"/>
              </w:rPr>
            </w:pPr>
            <w:r>
              <w:rPr>
                <w:sz w:val="18"/>
                <w:lang w:eastAsia="zh-CN"/>
              </w:rPr>
              <w:t>L预测ₜ+</w:t>
            </w:r>
            <w:r>
              <w:rPr>
                <w:sz w:val="18"/>
              </w:rPr>
              <w:t>η</w:t>
            </w:r>
            <w:r>
              <w:rPr>
                <w:sz w:val="18"/>
                <w:lang w:eastAsia="zh-CN"/>
              </w:rPr>
              <w:t>Cₜ &gt; L_cap 或接近</w:t>
            </w:r>
            <w:r>
              <w:rPr>
                <w:sz w:val="18"/>
                <w:lang w:eastAsia="zh-CN"/>
              </w:rPr>
              <w:lastRenderedPageBreak/>
              <w:t>阈值</w:t>
            </w:r>
          </w:p>
        </w:tc>
        <w:tc>
          <w:tcPr>
            <w:tcW w:w="0" w:type="auto"/>
            <w:tcMar>
              <w:top w:w="100" w:type="dxa"/>
              <w:left w:w="120" w:type="dxa"/>
              <w:bottom w:w="100" w:type="dxa"/>
              <w:right w:w="120" w:type="dxa"/>
            </w:tcMar>
            <w:vAlign w:val="center"/>
          </w:tcPr>
          <w:p w14:paraId="33DFD5E7" w14:textId="77777777" w:rsidR="00E40EC2" w:rsidRDefault="00000000">
            <w:pPr>
              <w:spacing w:line="288" w:lineRule="auto"/>
              <w:rPr>
                <w:lang w:eastAsia="zh-CN"/>
              </w:rPr>
            </w:pPr>
            <w:r>
              <w:rPr>
                <w:sz w:val="18"/>
                <w:lang w:eastAsia="zh-CN"/>
              </w:rPr>
              <w:lastRenderedPageBreak/>
              <w:t>AI新增负荷可能加剧电网峰值</w:t>
            </w:r>
          </w:p>
        </w:tc>
        <w:tc>
          <w:tcPr>
            <w:tcW w:w="0" w:type="auto"/>
            <w:tcMar>
              <w:top w:w="100" w:type="dxa"/>
              <w:left w:w="120" w:type="dxa"/>
              <w:bottom w:w="100" w:type="dxa"/>
              <w:right w:w="120" w:type="dxa"/>
            </w:tcMar>
            <w:vAlign w:val="center"/>
          </w:tcPr>
          <w:p w14:paraId="2D1DCC52" w14:textId="77777777" w:rsidR="00E40EC2" w:rsidRDefault="00000000">
            <w:pPr>
              <w:spacing w:line="288" w:lineRule="auto"/>
              <w:rPr>
                <w:lang w:eastAsia="zh-CN"/>
              </w:rPr>
            </w:pPr>
            <w:r>
              <w:rPr>
                <w:sz w:val="18"/>
                <w:lang w:eastAsia="zh-CN"/>
              </w:rPr>
              <w:t>风险小时、最大可增加容量</w:t>
            </w:r>
          </w:p>
        </w:tc>
      </w:tr>
      <w:tr w:rsidR="00E40EC2" w14:paraId="3C7C89C1" w14:textId="77777777" w:rsidTr="001A5D8A">
        <w:trPr>
          <w:jc w:val="center"/>
        </w:trPr>
        <w:tc>
          <w:tcPr>
            <w:tcW w:w="0" w:type="auto"/>
            <w:tcMar>
              <w:top w:w="100" w:type="dxa"/>
              <w:left w:w="120" w:type="dxa"/>
              <w:bottom w:w="100" w:type="dxa"/>
              <w:right w:w="120" w:type="dxa"/>
            </w:tcMar>
            <w:vAlign w:val="center"/>
          </w:tcPr>
          <w:p w14:paraId="4C604D58" w14:textId="77777777" w:rsidR="00E40EC2" w:rsidRDefault="00000000">
            <w:pPr>
              <w:spacing w:line="288" w:lineRule="auto"/>
            </w:pPr>
            <w:r>
              <w:rPr>
                <w:sz w:val="18"/>
              </w:rPr>
              <w:lastRenderedPageBreak/>
              <w:t>高碳状态</w:t>
            </w:r>
          </w:p>
        </w:tc>
        <w:tc>
          <w:tcPr>
            <w:tcW w:w="0" w:type="auto"/>
            <w:tcMar>
              <w:top w:w="100" w:type="dxa"/>
              <w:left w:w="120" w:type="dxa"/>
              <w:bottom w:w="100" w:type="dxa"/>
              <w:right w:w="120" w:type="dxa"/>
            </w:tcMar>
            <w:vAlign w:val="center"/>
          </w:tcPr>
          <w:p w14:paraId="258405CF" w14:textId="77777777" w:rsidR="00E40EC2" w:rsidRDefault="00000000">
            <w:pPr>
              <w:spacing w:line="288" w:lineRule="auto"/>
            </w:pPr>
            <w:r>
              <w:rPr>
                <w:sz w:val="18"/>
              </w:rPr>
              <w:t>p高碳,ₜ≥τ</w:t>
            </w:r>
          </w:p>
        </w:tc>
        <w:tc>
          <w:tcPr>
            <w:tcW w:w="0" w:type="auto"/>
            <w:tcMar>
              <w:top w:w="100" w:type="dxa"/>
              <w:left w:w="120" w:type="dxa"/>
              <w:bottom w:w="100" w:type="dxa"/>
              <w:right w:w="120" w:type="dxa"/>
            </w:tcMar>
            <w:vAlign w:val="center"/>
          </w:tcPr>
          <w:p w14:paraId="54DF8BB2" w14:textId="77777777" w:rsidR="00E40EC2" w:rsidRDefault="00000000">
            <w:pPr>
              <w:spacing w:line="288" w:lineRule="auto"/>
              <w:rPr>
                <w:lang w:eastAsia="zh-CN"/>
              </w:rPr>
            </w:pPr>
            <w:r>
              <w:rPr>
                <w:sz w:val="18"/>
                <w:lang w:eastAsia="zh-CN"/>
              </w:rPr>
              <w:t>即使未超预算，也存在即将恶化的碳风险</w:t>
            </w:r>
          </w:p>
        </w:tc>
        <w:tc>
          <w:tcPr>
            <w:tcW w:w="0" w:type="auto"/>
            <w:tcMar>
              <w:top w:w="100" w:type="dxa"/>
              <w:left w:w="120" w:type="dxa"/>
              <w:bottom w:w="100" w:type="dxa"/>
              <w:right w:w="120" w:type="dxa"/>
            </w:tcMar>
            <w:vAlign w:val="center"/>
          </w:tcPr>
          <w:p w14:paraId="1EFF2008" w14:textId="77777777" w:rsidR="00E40EC2" w:rsidRDefault="00000000">
            <w:pPr>
              <w:spacing w:line="288" w:lineRule="auto"/>
              <w:rPr>
                <w:lang w:eastAsia="zh-CN"/>
              </w:rPr>
            </w:pPr>
            <w:r>
              <w:rPr>
                <w:sz w:val="18"/>
                <w:lang w:eastAsia="zh-CN"/>
              </w:rPr>
              <w:t>风险概率、状态解释、提前量</w:t>
            </w:r>
          </w:p>
        </w:tc>
      </w:tr>
    </w:tbl>
    <w:p w14:paraId="10BD8975" w14:textId="77777777" w:rsidR="00E40EC2" w:rsidRDefault="00E40EC2">
      <w:pPr>
        <w:spacing w:after="40"/>
        <w:rPr>
          <w:lang w:eastAsia="zh-CN"/>
        </w:rPr>
      </w:pPr>
    </w:p>
    <w:p w14:paraId="524F06E6" w14:textId="77777777" w:rsidR="00E40EC2" w:rsidRDefault="00000000">
      <w:pPr>
        <w:spacing w:after="120" w:line="307" w:lineRule="auto"/>
        <w:ind w:firstLine="420"/>
        <w:jc w:val="both"/>
        <w:rPr>
          <w:lang w:eastAsia="zh-CN"/>
        </w:rPr>
      </w:pPr>
      <w:r>
        <w:rPr>
          <w:lang w:eastAsia="zh-CN"/>
        </w:rPr>
        <w:t>“清洁电力匹配”在本文中应表述为时间匹配清洁电力暴露比例，即AI计算所处时段的电网清洁电力占比加权平均；它不能被解释为企业实际持有的绿电合同、绿证或物理可再生电力采购比例。</w:t>
      </w:r>
    </w:p>
    <w:p w14:paraId="3CC884A4" w14:textId="77777777" w:rsidR="00E40EC2" w:rsidRDefault="00000000">
      <w:pPr>
        <w:keepNext/>
        <w:spacing w:before="320" w:after="160"/>
        <w:rPr>
          <w:lang w:eastAsia="zh-CN"/>
        </w:rPr>
      </w:pPr>
      <w:r>
        <w:rPr>
          <w:b/>
          <w:sz w:val="30"/>
          <w:lang w:eastAsia="zh-CN"/>
        </w:rPr>
        <w:t>七、数据、情景与实验设计</w:t>
      </w:r>
    </w:p>
    <w:p w14:paraId="73954E4F" w14:textId="77777777" w:rsidR="00E40EC2" w:rsidRDefault="00000000">
      <w:pPr>
        <w:keepNext/>
        <w:spacing w:before="220" w:after="100"/>
        <w:rPr>
          <w:lang w:eastAsia="zh-CN"/>
        </w:rPr>
      </w:pPr>
      <w:r>
        <w:rPr>
          <w:b/>
          <w:sz w:val="25"/>
          <w:lang w:eastAsia="zh-CN"/>
        </w:rPr>
        <w:t>7.1 数据方案</w:t>
      </w:r>
    </w:p>
    <w:p w14:paraId="41EA1885" w14:textId="77777777" w:rsidR="00E40EC2" w:rsidRDefault="00000000">
      <w:pPr>
        <w:spacing w:after="120" w:line="307" w:lineRule="auto"/>
        <w:ind w:firstLine="420"/>
        <w:jc w:val="both"/>
        <w:rPr>
          <w:lang w:eastAsia="zh-CN"/>
        </w:rPr>
      </w:pPr>
      <w:r>
        <w:rPr>
          <w:lang w:eastAsia="zh-CN"/>
        </w:rPr>
        <w:t>电网侧采用Electricity Maps中国区小时级数据，优先使用碳强度、可再生/低碳比例、总负荷、总上报负荷、净负荷、日前价格、跨区电力流和化石燃料碳强度等可用信号。该平台数据应在论文中明确为估计值或模型化信号。AI侧不把公开GPU轨迹与中国电网数据混合训练；GPU轨迹仅用于构造D_t需求曲线和检验容量方案的服务能力。</w:t>
      </w:r>
    </w:p>
    <w:p w14:paraId="4CBB8ED7" w14:textId="77777777" w:rsidR="00E40EC2" w:rsidRDefault="00000000">
      <w:pPr>
        <w:keepNext/>
        <w:spacing w:before="220" w:after="100"/>
      </w:pPr>
      <w:r>
        <w:rPr>
          <w:b/>
          <w:sz w:val="25"/>
        </w:rPr>
        <w:t>7.2 对比实验</w:t>
      </w:r>
    </w:p>
    <w:tbl>
      <w:tblPr>
        <w:tblStyle w:val="aff1"/>
        <w:tblW w:w="0" w:type="auto"/>
        <w:jc w:val="center"/>
        <w:tblLook w:val="04A0" w:firstRow="1" w:lastRow="0" w:firstColumn="1" w:lastColumn="0" w:noHBand="0" w:noVBand="1"/>
      </w:tblPr>
      <w:tblGrid>
        <w:gridCol w:w="622"/>
        <w:gridCol w:w="4290"/>
        <w:gridCol w:w="2625"/>
      </w:tblGrid>
      <w:tr w:rsidR="00E40EC2" w14:paraId="221CEBAE" w14:textId="77777777" w:rsidTr="001A5D8A">
        <w:trPr>
          <w:tblHeader/>
          <w:jc w:val="center"/>
        </w:trPr>
        <w:tc>
          <w:tcPr>
            <w:tcW w:w="0" w:type="auto"/>
            <w:tcMar>
              <w:top w:w="100" w:type="dxa"/>
              <w:left w:w="120" w:type="dxa"/>
              <w:bottom w:w="100" w:type="dxa"/>
              <w:right w:w="120" w:type="dxa"/>
            </w:tcMar>
            <w:vAlign w:val="center"/>
          </w:tcPr>
          <w:p w14:paraId="5263B6DB" w14:textId="77777777" w:rsidR="00E40EC2" w:rsidRDefault="00000000">
            <w:pPr>
              <w:spacing w:line="288" w:lineRule="auto"/>
              <w:jc w:val="center"/>
            </w:pPr>
            <w:r>
              <w:rPr>
                <w:b/>
                <w:sz w:val="19"/>
              </w:rPr>
              <w:t>组别</w:t>
            </w:r>
          </w:p>
        </w:tc>
        <w:tc>
          <w:tcPr>
            <w:tcW w:w="0" w:type="auto"/>
            <w:tcMar>
              <w:top w:w="100" w:type="dxa"/>
              <w:left w:w="120" w:type="dxa"/>
              <w:bottom w:w="100" w:type="dxa"/>
              <w:right w:w="120" w:type="dxa"/>
            </w:tcMar>
            <w:vAlign w:val="center"/>
          </w:tcPr>
          <w:p w14:paraId="566AC6D9" w14:textId="77777777" w:rsidR="00E40EC2" w:rsidRDefault="00000000">
            <w:pPr>
              <w:spacing w:line="288" w:lineRule="auto"/>
              <w:jc w:val="center"/>
            </w:pPr>
            <w:r>
              <w:rPr>
                <w:b/>
                <w:sz w:val="19"/>
              </w:rPr>
              <w:t>方案</w:t>
            </w:r>
          </w:p>
        </w:tc>
        <w:tc>
          <w:tcPr>
            <w:tcW w:w="0" w:type="auto"/>
            <w:tcMar>
              <w:top w:w="100" w:type="dxa"/>
              <w:left w:w="120" w:type="dxa"/>
              <w:bottom w:w="100" w:type="dxa"/>
              <w:right w:w="120" w:type="dxa"/>
            </w:tcMar>
            <w:vAlign w:val="center"/>
          </w:tcPr>
          <w:p w14:paraId="595B641F" w14:textId="77777777" w:rsidR="00E40EC2" w:rsidRDefault="00000000">
            <w:pPr>
              <w:spacing w:line="288" w:lineRule="auto"/>
              <w:jc w:val="center"/>
            </w:pPr>
            <w:r>
              <w:rPr>
                <w:b/>
                <w:sz w:val="19"/>
              </w:rPr>
              <w:t>目的</w:t>
            </w:r>
          </w:p>
        </w:tc>
      </w:tr>
      <w:tr w:rsidR="00E40EC2" w14:paraId="71200DF4" w14:textId="77777777" w:rsidTr="001A5D8A">
        <w:trPr>
          <w:jc w:val="center"/>
        </w:trPr>
        <w:tc>
          <w:tcPr>
            <w:tcW w:w="0" w:type="auto"/>
            <w:tcMar>
              <w:top w:w="100" w:type="dxa"/>
              <w:left w:w="120" w:type="dxa"/>
              <w:bottom w:w="100" w:type="dxa"/>
              <w:right w:w="120" w:type="dxa"/>
            </w:tcMar>
            <w:vAlign w:val="center"/>
          </w:tcPr>
          <w:p w14:paraId="4A8A33B3" w14:textId="77777777" w:rsidR="00E40EC2" w:rsidRDefault="00000000">
            <w:pPr>
              <w:spacing w:line="288" w:lineRule="auto"/>
            </w:pPr>
            <w:r>
              <w:rPr>
                <w:sz w:val="18"/>
              </w:rPr>
              <w:t>S0</w:t>
            </w:r>
          </w:p>
        </w:tc>
        <w:tc>
          <w:tcPr>
            <w:tcW w:w="0" w:type="auto"/>
            <w:tcMar>
              <w:top w:w="100" w:type="dxa"/>
              <w:left w:w="120" w:type="dxa"/>
              <w:bottom w:w="100" w:type="dxa"/>
              <w:right w:w="120" w:type="dxa"/>
            </w:tcMar>
            <w:vAlign w:val="center"/>
          </w:tcPr>
          <w:p w14:paraId="32EE2A6D" w14:textId="77777777" w:rsidR="00E40EC2" w:rsidRDefault="00000000">
            <w:pPr>
              <w:spacing w:line="288" w:lineRule="auto"/>
              <w:rPr>
                <w:lang w:eastAsia="zh-CN"/>
              </w:rPr>
            </w:pPr>
            <w:r>
              <w:rPr>
                <w:sz w:val="18"/>
                <w:lang w:eastAsia="zh-CN"/>
              </w:rPr>
              <w:t>固定AI容量，不使用碳强度、清洁比例和负荷信息</w:t>
            </w:r>
          </w:p>
        </w:tc>
        <w:tc>
          <w:tcPr>
            <w:tcW w:w="0" w:type="auto"/>
            <w:tcMar>
              <w:top w:w="100" w:type="dxa"/>
              <w:left w:w="120" w:type="dxa"/>
              <w:bottom w:w="100" w:type="dxa"/>
              <w:right w:w="120" w:type="dxa"/>
            </w:tcMar>
            <w:vAlign w:val="center"/>
          </w:tcPr>
          <w:p w14:paraId="75DE6D9D" w14:textId="77777777" w:rsidR="00E40EC2" w:rsidRDefault="00000000">
            <w:pPr>
              <w:spacing w:line="288" w:lineRule="auto"/>
            </w:pPr>
            <w:r>
              <w:rPr>
                <w:sz w:val="18"/>
              </w:rPr>
              <w:t>基准：常规容量运行</w:t>
            </w:r>
          </w:p>
        </w:tc>
      </w:tr>
      <w:tr w:rsidR="00E40EC2" w14:paraId="66EF7F6E" w14:textId="77777777" w:rsidTr="001A5D8A">
        <w:trPr>
          <w:jc w:val="center"/>
        </w:trPr>
        <w:tc>
          <w:tcPr>
            <w:tcW w:w="0" w:type="auto"/>
            <w:tcMar>
              <w:top w:w="100" w:type="dxa"/>
              <w:left w:w="120" w:type="dxa"/>
              <w:bottom w:w="100" w:type="dxa"/>
              <w:right w:w="120" w:type="dxa"/>
            </w:tcMar>
            <w:vAlign w:val="center"/>
          </w:tcPr>
          <w:p w14:paraId="75C43576" w14:textId="77777777" w:rsidR="00E40EC2" w:rsidRDefault="00000000">
            <w:pPr>
              <w:spacing w:line="288" w:lineRule="auto"/>
            </w:pPr>
            <w:r>
              <w:rPr>
                <w:sz w:val="18"/>
              </w:rPr>
              <w:t>S1</w:t>
            </w:r>
          </w:p>
        </w:tc>
        <w:tc>
          <w:tcPr>
            <w:tcW w:w="0" w:type="auto"/>
            <w:tcMar>
              <w:top w:w="100" w:type="dxa"/>
              <w:left w:w="120" w:type="dxa"/>
              <w:bottom w:w="100" w:type="dxa"/>
              <w:right w:w="120" w:type="dxa"/>
            </w:tcMar>
            <w:vAlign w:val="center"/>
          </w:tcPr>
          <w:p w14:paraId="0343D865" w14:textId="77777777" w:rsidR="00E40EC2" w:rsidRDefault="00000000">
            <w:pPr>
              <w:spacing w:line="288" w:lineRule="auto"/>
            </w:pPr>
            <w:r>
              <w:rPr>
                <w:sz w:val="18"/>
              </w:rPr>
              <w:t>仅使用碳预算约束</w:t>
            </w:r>
          </w:p>
        </w:tc>
        <w:tc>
          <w:tcPr>
            <w:tcW w:w="0" w:type="auto"/>
            <w:tcMar>
              <w:top w:w="100" w:type="dxa"/>
              <w:left w:w="120" w:type="dxa"/>
              <w:bottom w:w="100" w:type="dxa"/>
              <w:right w:w="120" w:type="dxa"/>
            </w:tcMar>
            <w:vAlign w:val="center"/>
          </w:tcPr>
          <w:p w14:paraId="5CD15D27" w14:textId="77777777" w:rsidR="00E40EC2" w:rsidRDefault="00000000">
            <w:pPr>
              <w:spacing w:line="288" w:lineRule="auto"/>
              <w:rPr>
                <w:lang w:eastAsia="zh-CN"/>
              </w:rPr>
            </w:pPr>
            <w:r>
              <w:rPr>
                <w:sz w:val="18"/>
                <w:lang w:eastAsia="zh-CN"/>
              </w:rPr>
              <w:t>检验碳约束的独立贡献</w:t>
            </w:r>
          </w:p>
        </w:tc>
      </w:tr>
      <w:tr w:rsidR="00E40EC2" w14:paraId="112B5A5B" w14:textId="77777777" w:rsidTr="001A5D8A">
        <w:trPr>
          <w:jc w:val="center"/>
        </w:trPr>
        <w:tc>
          <w:tcPr>
            <w:tcW w:w="0" w:type="auto"/>
            <w:tcMar>
              <w:top w:w="100" w:type="dxa"/>
              <w:left w:w="120" w:type="dxa"/>
              <w:bottom w:w="100" w:type="dxa"/>
              <w:right w:w="120" w:type="dxa"/>
            </w:tcMar>
            <w:vAlign w:val="center"/>
          </w:tcPr>
          <w:p w14:paraId="0CF87CC6" w14:textId="77777777" w:rsidR="00E40EC2" w:rsidRDefault="00000000">
            <w:pPr>
              <w:spacing w:line="288" w:lineRule="auto"/>
            </w:pPr>
            <w:r>
              <w:rPr>
                <w:sz w:val="18"/>
              </w:rPr>
              <w:t>S2</w:t>
            </w:r>
          </w:p>
        </w:tc>
        <w:tc>
          <w:tcPr>
            <w:tcW w:w="0" w:type="auto"/>
            <w:tcMar>
              <w:top w:w="100" w:type="dxa"/>
              <w:left w:w="120" w:type="dxa"/>
              <w:bottom w:w="100" w:type="dxa"/>
              <w:right w:w="120" w:type="dxa"/>
            </w:tcMar>
            <w:vAlign w:val="center"/>
          </w:tcPr>
          <w:p w14:paraId="33D77B4B" w14:textId="77777777" w:rsidR="00E40EC2" w:rsidRDefault="00000000">
            <w:pPr>
              <w:spacing w:line="288" w:lineRule="auto"/>
              <w:rPr>
                <w:lang w:eastAsia="zh-CN"/>
              </w:rPr>
            </w:pPr>
            <w:r>
              <w:rPr>
                <w:sz w:val="18"/>
                <w:lang w:eastAsia="zh-CN"/>
              </w:rPr>
              <w:t>碳预算 + 清洁匹配 + 峰值负荷约束</w:t>
            </w:r>
          </w:p>
        </w:tc>
        <w:tc>
          <w:tcPr>
            <w:tcW w:w="0" w:type="auto"/>
            <w:tcMar>
              <w:top w:w="100" w:type="dxa"/>
              <w:left w:w="120" w:type="dxa"/>
              <w:bottom w:w="100" w:type="dxa"/>
              <w:right w:w="120" w:type="dxa"/>
            </w:tcMar>
            <w:vAlign w:val="center"/>
          </w:tcPr>
          <w:p w14:paraId="6CA1AB09" w14:textId="77777777" w:rsidR="00E40EC2" w:rsidRDefault="00000000">
            <w:pPr>
              <w:spacing w:line="288" w:lineRule="auto"/>
            </w:pPr>
            <w:r>
              <w:rPr>
                <w:sz w:val="18"/>
              </w:rPr>
              <w:t>检验多目标容量边界</w:t>
            </w:r>
          </w:p>
        </w:tc>
      </w:tr>
      <w:tr w:rsidR="00E40EC2" w14:paraId="60A4766C" w14:textId="77777777" w:rsidTr="001A5D8A">
        <w:trPr>
          <w:jc w:val="center"/>
        </w:trPr>
        <w:tc>
          <w:tcPr>
            <w:tcW w:w="0" w:type="auto"/>
            <w:tcMar>
              <w:top w:w="100" w:type="dxa"/>
              <w:left w:w="120" w:type="dxa"/>
              <w:bottom w:w="100" w:type="dxa"/>
              <w:right w:w="120" w:type="dxa"/>
            </w:tcMar>
            <w:vAlign w:val="center"/>
          </w:tcPr>
          <w:p w14:paraId="4735FFB1" w14:textId="77777777" w:rsidR="00E40EC2" w:rsidRDefault="00000000">
            <w:pPr>
              <w:spacing w:line="288" w:lineRule="auto"/>
            </w:pPr>
            <w:r>
              <w:rPr>
                <w:sz w:val="18"/>
              </w:rPr>
              <w:t>S3</w:t>
            </w:r>
          </w:p>
        </w:tc>
        <w:tc>
          <w:tcPr>
            <w:tcW w:w="0" w:type="auto"/>
            <w:tcMar>
              <w:top w:w="100" w:type="dxa"/>
              <w:left w:w="120" w:type="dxa"/>
              <w:bottom w:w="100" w:type="dxa"/>
              <w:right w:w="120" w:type="dxa"/>
            </w:tcMar>
            <w:vAlign w:val="center"/>
          </w:tcPr>
          <w:p w14:paraId="7D9F10B3" w14:textId="77777777" w:rsidR="00E40EC2" w:rsidRDefault="00000000">
            <w:pPr>
              <w:spacing w:line="288" w:lineRule="auto"/>
            </w:pPr>
            <w:r>
              <w:rPr>
                <w:sz w:val="18"/>
              </w:rPr>
              <w:t>S2 + 高碳风险缓冲</w:t>
            </w:r>
          </w:p>
        </w:tc>
        <w:tc>
          <w:tcPr>
            <w:tcW w:w="0" w:type="auto"/>
            <w:tcMar>
              <w:top w:w="100" w:type="dxa"/>
              <w:left w:w="120" w:type="dxa"/>
              <w:bottom w:w="100" w:type="dxa"/>
              <w:right w:w="120" w:type="dxa"/>
            </w:tcMar>
            <w:vAlign w:val="center"/>
          </w:tcPr>
          <w:p w14:paraId="5A509657" w14:textId="77777777" w:rsidR="00E40EC2" w:rsidRDefault="00000000">
            <w:pPr>
              <w:spacing w:line="288" w:lineRule="auto"/>
              <w:rPr>
                <w:lang w:eastAsia="zh-CN"/>
              </w:rPr>
            </w:pPr>
            <w:r>
              <w:rPr>
                <w:sz w:val="18"/>
                <w:lang w:eastAsia="zh-CN"/>
              </w:rPr>
              <w:t>检验HMM/风险预测的应用价值</w:t>
            </w:r>
          </w:p>
        </w:tc>
      </w:tr>
      <w:tr w:rsidR="00E40EC2" w14:paraId="00E84A17" w14:textId="77777777" w:rsidTr="001A5D8A">
        <w:trPr>
          <w:jc w:val="center"/>
        </w:trPr>
        <w:tc>
          <w:tcPr>
            <w:tcW w:w="0" w:type="auto"/>
            <w:tcMar>
              <w:top w:w="100" w:type="dxa"/>
              <w:left w:w="120" w:type="dxa"/>
              <w:bottom w:w="100" w:type="dxa"/>
              <w:right w:w="120" w:type="dxa"/>
            </w:tcMar>
            <w:vAlign w:val="center"/>
          </w:tcPr>
          <w:p w14:paraId="205FFFE0" w14:textId="77777777" w:rsidR="00E40EC2" w:rsidRDefault="00000000">
            <w:pPr>
              <w:spacing w:line="288" w:lineRule="auto"/>
            </w:pPr>
            <w:r>
              <w:rPr>
                <w:sz w:val="18"/>
              </w:rPr>
              <w:t>S4</w:t>
            </w:r>
          </w:p>
        </w:tc>
        <w:tc>
          <w:tcPr>
            <w:tcW w:w="0" w:type="auto"/>
            <w:tcMar>
              <w:top w:w="100" w:type="dxa"/>
              <w:left w:w="120" w:type="dxa"/>
              <w:bottom w:w="100" w:type="dxa"/>
              <w:right w:w="120" w:type="dxa"/>
            </w:tcMar>
            <w:vAlign w:val="center"/>
          </w:tcPr>
          <w:p w14:paraId="1DE80AC5" w14:textId="77777777" w:rsidR="00E40EC2" w:rsidRDefault="00000000">
            <w:pPr>
              <w:spacing w:line="288" w:lineRule="auto"/>
              <w:rPr>
                <w:lang w:eastAsia="zh-CN"/>
              </w:rPr>
            </w:pPr>
            <w:r>
              <w:rPr>
                <w:sz w:val="18"/>
                <w:lang w:eastAsia="zh-CN"/>
              </w:rPr>
              <w:t>S3使用真实未来信号（仅离线参照）</w:t>
            </w:r>
          </w:p>
        </w:tc>
        <w:tc>
          <w:tcPr>
            <w:tcW w:w="0" w:type="auto"/>
            <w:tcMar>
              <w:top w:w="100" w:type="dxa"/>
              <w:left w:w="120" w:type="dxa"/>
              <w:bottom w:w="100" w:type="dxa"/>
              <w:right w:w="120" w:type="dxa"/>
            </w:tcMar>
            <w:vAlign w:val="center"/>
          </w:tcPr>
          <w:p w14:paraId="69F1EB99" w14:textId="77777777" w:rsidR="00E40EC2" w:rsidRDefault="00000000">
            <w:pPr>
              <w:spacing w:line="288" w:lineRule="auto"/>
              <w:rPr>
                <w:lang w:eastAsia="zh-CN"/>
              </w:rPr>
            </w:pPr>
            <w:r>
              <w:rPr>
                <w:sz w:val="18"/>
                <w:lang w:eastAsia="zh-CN"/>
              </w:rPr>
              <w:t>衡量预测误差带来的决策损失</w:t>
            </w:r>
          </w:p>
        </w:tc>
      </w:tr>
    </w:tbl>
    <w:p w14:paraId="6A6F1158" w14:textId="77777777" w:rsidR="00E40EC2" w:rsidRDefault="00E40EC2">
      <w:pPr>
        <w:spacing w:after="40"/>
        <w:rPr>
          <w:lang w:eastAsia="zh-CN"/>
        </w:rPr>
      </w:pPr>
    </w:p>
    <w:p w14:paraId="41F957A1" w14:textId="77777777" w:rsidR="00E40EC2" w:rsidRDefault="00000000">
      <w:pPr>
        <w:keepNext/>
        <w:spacing w:before="220" w:after="100"/>
        <w:rPr>
          <w:lang w:eastAsia="zh-CN"/>
        </w:rPr>
      </w:pPr>
      <w:r>
        <w:rPr>
          <w:b/>
          <w:sz w:val="25"/>
          <w:lang w:eastAsia="zh-CN"/>
        </w:rPr>
        <w:t>7.3 指标与检验</w:t>
      </w:r>
    </w:p>
    <w:p w14:paraId="15A387B1" w14:textId="77777777" w:rsidR="00E40EC2" w:rsidRDefault="00000000">
      <w:pPr>
        <w:spacing w:after="120" w:line="307" w:lineRule="auto"/>
        <w:ind w:firstLine="420"/>
        <w:jc w:val="both"/>
        <w:rPr>
          <w:lang w:eastAsia="zh-CN"/>
        </w:rPr>
      </w:pPr>
      <w:r>
        <w:rPr>
          <w:lang w:eastAsia="zh-CN"/>
        </w:rPr>
        <w:t>预测层报告MAE、RMSE、R²、PR-AUC、Recall与F1，并采用多随机种子和配对显著性检验。容量层报告：AI需求承接率（</w:t>
      </w:r>
      <w:r>
        <w:t>Σ</w:t>
      </w:r>
      <w:r>
        <w:rPr>
          <w:lang w:eastAsia="zh-CN"/>
        </w:rPr>
        <w:t>C_t/</w:t>
      </w:r>
      <w:r>
        <w:t>Σ</w:t>
      </w:r>
      <w:r>
        <w:rPr>
          <w:lang w:eastAsia="zh-CN"/>
        </w:rPr>
        <w:t>D_t）、单位AI计算碳排放、累计碳预算超限量与超限次数、时间匹配清洁暴露比例、峰值负荷超限次数、最大容量削减比例。除平均指标外，需报告高碳状态下的风险漏报率，防止总体均值掩盖关键风险时段。</w:t>
      </w:r>
    </w:p>
    <w:p w14:paraId="3D9960BA" w14:textId="77777777" w:rsidR="00E40EC2" w:rsidRDefault="00000000">
      <w:pPr>
        <w:keepNext/>
        <w:spacing w:before="320" w:after="160"/>
        <w:rPr>
          <w:lang w:eastAsia="zh-CN"/>
        </w:rPr>
      </w:pPr>
      <w:r>
        <w:rPr>
          <w:b/>
          <w:sz w:val="30"/>
          <w:lang w:eastAsia="zh-CN"/>
        </w:rPr>
        <w:t>八、预期创新、可发表边界与风险控制</w:t>
      </w:r>
    </w:p>
    <w:tbl>
      <w:tblPr>
        <w:tblStyle w:val="aff1"/>
        <w:tblW w:w="0" w:type="auto"/>
        <w:jc w:val="center"/>
        <w:tblLook w:val="04A0" w:firstRow="1" w:lastRow="0" w:firstColumn="1" w:lastColumn="0" w:noHBand="0" w:noVBand="1"/>
      </w:tblPr>
      <w:tblGrid>
        <w:gridCol w:w="885"/>
        <w:gridCol w:w="8483"/>
      </w:tblGrid>
      <w:tr w:rsidR="00E40EC2" w14:paraId="1A1CE71F" w14:textId="77777777" w:rsidTr="001A5D8A">
        <w:trPr>
          <w:tblHeader/>
          <w:jc w:val="center"/>
        </w:trPr>
        <w:tc>
          <w:tcPr>
            <w:tcW w:w="0" w:type="auto"/>
            <w:tcMar>
              <w:top w:w="100" w:type="dxa"/>
              <w:left w:w="120" w:type="dxa"/>
              <w:bottom w:w="100" w:type="dxa"/>
              <w:right w:w="120" w:type="dxa"/>
            </w:tcMar>
            <w:vAlign w:val="center"/>
          </w:tcPr>
          <w:p w14:paraId="402087BA" w14:textId="77777777" w:rsidR="00E40EC2" w:rsidRDefault="00000000">
            <w:pPr>
              <w:spacing w:line="288" w:lineRule="auto"/>
              <w:jc w:val="center"/>
            </w:pPr>
            <w:r>
              <w:rPr>
                <w:b/>
                <w:sz w:val="19"/>
              </w:rPr>
              <w:t>维度</w:t>
            </w:r>
          </w:p>
        </w:tc>
        <w:tc>
          <w:tcPr>
            <w:tcW w:w="0" w:type="auto"/>
            <w:tcMar>
              <w:top w:w="100" w:type="dxa"/>
              <w:left w:w="120" w:type="dxa"/>
              <w:bottom w:w="100" w:type="dxa"/>
              <w:right w:w="120" w:type="dxa"/>
            </w:tcMar>
            <w:vAlign w:val="center"/>
          </w:tcPr>
          <w:p w14:paraId="3B03C157" w14:textId="77777777" w:rsidR="00E40EC2" w:rsidRDefault="00000000">
            <w:pPr>
              <w:spacing w:line="288" w:lineRule="auto"/>
              <w:jc w:val="center"/>
            </w:pPr>
            <w:r>
              <w:rPr>
                <w:b/>
                <w:sz w:val="19"/>
              </w:rPr>
              <w:t>具体内容</w:t>
            </w:r>
          </w:p>
        </w:tc>
      </w:tr>
      <w:tr w:rsidR="00E40EC2" w14:paraId="5C4B694A" w14:textId="77777777" w:rsidTr="001A5D8A">
        <w:trPr>
          <w:jc w:val="center"/>
        </w:trPr>
        <w:tc>
          <w:tcPr>
            <w:tcW w:w="0" w:type="auto"/>
            <w:tcMar>
              <w:top w:w="100" w:type="dxa"/>
              <w:left w:w="120" w:type="dxa"/>
              <w:bottom w:w="100" w:type="dxa"/>
              <w:right w:w="120" w:type="dxa"/>
            </w:tcMar>
            <w:vAlign w:val="center"/>
          </w:tcPr>
          <w:p w14:paraId="61DB52CC" w14:textId="77777777" w:rsidR="00E40EC2" w:rsidRDefault="00000000">
            <w:pPr>
              <w:spacing w:line="288" w:lineRule="auto"/>
            </w:pPr>
            <w:r>
              <w:rPr>
                <w:sz w:val="18"/>
              </w:rPr>
              <w:t>方法创</w:t>
            </w:r>
            <w:r>
              <w:rPr>
                <w:sz w:val="18"/>
              </w:rPr>
              <w:lastRenderedPageBreak/>
              <w:t>新</w:t>
            </w:r>
          </w:p>
        </w:tc>
        <w:tc>
          <w:tcPr>
            <w:tcW w:w="0" w:type="auto"/>
            <w:tcMar>
              <w:top w:w="100" w:type="dxa"/>
              <w:left w:w="120" w:type="dxa"/>
              <w:bottom w:w="100" w:type="dxa"/>
              <w:right w:w="120" w:type="dxa"/>
            </w:tcMar>
            <w:vAlign w:val="center"/>
          </w:tcPr>
          <w:p w14:paraId="36044157" w14:textId="77777777" w:rsidR="00E40EC2" w:rsidRDefault="00000000">
            <w:pPr>
              <w:spacing w:line="288" w:lineRule="auto"/>
              <w:rPr>
                <w:lang w:eastAsia="zh-CN"/>
              </w:rPr>
            </w:pPr>
            <w:r>
              <w:rPr>
                <w:sz w:val="18"/>
                <w:lang w:eastAsia="zh-CN"/>
              </w:rPr>
              <w:lastRenderedPageBreak/>
              <w:t>将多步碳强度预测、高碳状态预警与容量约束衔接，形成“预测—容量—预警”的轻量应用框架。</w:t>
            </w:r>
          </w:p>
        </w:tc>
      </w:tr>
      <w:tr w:rsidR="00E40EC2" w14:paraId="5AD8FF2C" w14:textId="77777777" w:rsidTr="001A5D8A">
        <w:trPr>
          <w:jc w:val="center"/>
        </w:trPr>
        <w:tc>
          <w:tcPr>
            <w:tcW w:w="0" w:type="auto"/>
            <w:tcMar>
              <w:top w:w="100" w:type="dxa"/>
              <w:left w:w="120" w:type="dxa"/>
              <w:bottom w:w="100" w:type="dxa"/>
              <w:right w:w="120" w:type="dxa"/>
            </w:tcMar>
            <w:vAlign w:val="center"/>
          </w:tcPr>
          <w:p w14:paraId="54132F0C" w14:textId="77777777" w:rsidR="00E40EC2" w:rsidRDefault="00000000">
            <w:pPr>
              <w:spacing w:line="288" w:lineRule="auto"/>
            </w:pPr>
            <w:r>
              <w:rPr>
                <w:sz w:val="18"/>
              </w:rPr>
              <w:lastRenderedPageBreak/>
              <w:t>状态创新</w:t>
            </w:r>
          </w:p>
        </w:tc>
        <w:tc>
          <w:tcPr>
            <w:tcW w:w="0" w:type="auto"/>
            <w:tcMar>
              <w:top w:w="100" w:type="dxa"/>
              <w:left w:w="120" w:type="dxa"/>
              <w:bottom w:w="100" w:type="dxa"/>
              <w:right w:w="120" w:type="dxa"/>
            </w:tcMar>
            <w:vAlign w:val="center"/>
          </w:tcPr>
          <w:p w14:paraId="7F00C02A" w14:textId="77777777" w:rsidR="00E40EC2" w:rsidRDefault="00000000">
            <w:pPr>
              <w:spacing w:line="288" w:lineRule="auto"/>
              <w:rPr>
                <w:lang w:eastAsia="zh-CN"/>
              </w:rPr>
            </w:pPr>
            <w:r>
              <w:rPr>
                <w:sz w:val="18"/>
                <w:lang w:eastAsia="zh-CN"/>
              </w:rPr>
              <w:t>以因果HMM状态概率作为风险缓冲信号；不把隐状态直接等同于容量决策，降低不可解释性。</w:t>
            </w:r>
          </w:p>
        </w:tc>
      </w:tr>
      <w:tr w:rsidR="00E40EC2" w14:paraId="7903AD8A" w14:textId="77777777" w:rsidTr="001A5D8A">
        <w:trPr>
          <w:jc w:val="center"/>
        </w:trPr>
        <w:tc>
          <w:tcPr>
            <w:tcW w:w="0" w:type="auto"/>
            <w:tcMar>
              <w:top w:w="100" w:type="dxa"/>
              <w:left w:w="120" w:type="dxa"/>
              <w:bottom w:w="100" w:type="dxa"/>
              <w:right w:w="120" w:type="dxa"/>
            </w:tcMar>
            <w:vAlign w:val="center"/>
          </w:tcPr>
          <w:p w14:paraId="51C214D3" w14:textId="77777777" w:rsidR="00E40EC2" w:rsidRDefault="00000000">
            <w:pPr>
              <w:spacing w:line="288" w:lineRule="auto"/>
            </w:pPr>
            <w:r>
              <w:rPr>
                <w:sz w:val="18"/>
              </w:rPr>
              <w:t>应用创新</w:t>
            </w:r>
          </w:p>
        </w:tc>
        <w:tc>
          <w:tcPr>
            <w:tcW w:w="0" w:type="auto"/>
            <w:tcMar>
              <w:top w:w="100" w:type="dxa"/>
              <w:left w:w="120" w:type="dxa"/>
              <w:bottom w:w="100" w:type="dxa"/>
              <w:right w:w="120" w:type="dxa"/>
            </w:tcMar>
            <w:vAlign w:val="center"/>
          </w:tcPr>
          <w:p w14:paraId="1DA5B454" w14:textId="77777777" w:rsidR="00E40EC2" w:rsidRDefault="00000000">
            <w:pPr>
              <w:spacing w:line="288" w:lineRule="auto"/>
              <w:rPr>
                <w:lang w:eastAsia="zh-CN"/>
              </w:rPr>
            </w:pPr>
            <w:r>
              <w:rPr>
                <w:sz w:val="18"/>
                <w:lang w:eastAsia="zh-CN"/>
              </w:rPr>
              <w:t>由任务级调度转向容量级管理，降低对任务截止期、可中断性和真实功率数据的依赖。</w:t>
            </w:r>
          </w:p>
        </w:tc>
      </w:tr>
      <w:tr w:rsidR="00E40EC2" w14:paraId="4FBE3058" w14:textId="77777777" w:rsidTr="001A5D8A">
        <w:trPr>
          <w:jc w:val="center"/>
        </w:trPr>
        <w:tc>
          <w:tcPr>
            <w:tcW w:w="0" w:type="auto"/>
            <w:tcMar>
              <w:top w:w="100" w:type="dxa"/>
              <w:left w:w="120" w:type="dxa"/>
              <w:bottom w:w="100" w:type="dxa"/>
              <w:right w:w="120" w:type="dxa"/>
            </w:tcMar>
            <w:vAlign w:val="center"/>
          </w:tcPr>
          <w:p w14:paraId="1D257BB9" w14:textId="77777777" w:rsidR="00E40EC2" w:rsidRDefault="00000000">
            <w:pPr>
              <w:spacing w:line="288" w:lineRule="auto"/>
            </w:pPr>
            <w:r>
              <w:rPr>
                <w:sz w:val="18"/>
              </w:rPr>
              <w:t>实验创新</w:t>
            </w:r>
          </w:p>
        </w:tc>
        <w:tc>
          <w:tcPr>
            <w:tcW w:w="0" w:type="auto"/>
            <w:tcMar>
              <w:top w:w="100" w:type="dxa"/>
              <w:left w:w="120" w:type="dxa"/>
              <w:bottom w:w="100" w:type="dxa"/>
              <w:right w:w="120" w:type="dxa"/>
            </w:tcMar>
            <w:vAlign w:val="center"/>
          </w:tcPr>
          <w:p w14:paraId="420833F6" w14:textId="77777777" w:rsidR="00E40EC2" w:rsidRDefault="00000000">
            <w:pPr>
              <w:spacing w:line="288" w:lineRule="auto"/>
              <w:rPr>
                <w:lang w:eastAsia="zh-CN"/>
              </w:rPr>
            </w:pPr>
            <w:r>
              <w:rPr>
                <w:sz w:val="18"/>
                <w:lang w:eastAsia="zh-CN"/>
              </w:rPr>
              <w:t>以预测方案与未来真实信号方案对照，量化预测误差对绿色容量决策的影响。</w:t>
            </w:r>
          </w:p>
        </w:tc>
      </w:tr>
      <w:tr w:rsidR="00E40EC2" w14:paraId="6506E51F" w14:textId="77777777" w:rsidTr="001A5D8A">
        <w:trPr>
          <w:jc w:val="center"/>
        </w:trPr>
        <w:tc>
          <w:tcPr>
            <w:tcW w:w="0" w:type="auto"/>
            <w:tcMar>
              <w:top w:w="100" w:type="dxa"/>
              <w:left w:w="120" w:type="dxa"/>
              <w:bottom w:w="100" w:type="dxa"/>
              <w:right w:w="120" w:type="dxa"/>
            </w:tcMar>
            <w:vAlign w:val="center"/>
          </w:tcPr>
          <w:p w14:paraId="4E5180DA" w14:textId="77777777" w:rsidR="00E40EC2" w:rsidRDefault="00000000">
            <w:pPr>
              <w:spacing w:line="288" w:lineRule="auto"/>
            </w:pPr>
            <w:r>
              <w:rPr>
                <w:sz w:val="18"/>
              </w:rPr>
              <w:t>主要风险</w:t>
            </w:r>
          </w:p>
        </w:tc>
        <w:tc>
          <w:tcPr>
            <w:tcW w:w="0" w:type="auto"/>
            <w:tcMar>
              <w:top w:w="100" w:type="dxa"/>
              <w:left w:w="120" w:type="dxa"/>
              <w:bottom w:w="100" w:type="dxa"/>
              <w:right w:w="120" w:type="dxa"/>
            </w:tcMar>
            <w:vAlign w:val="center"/>
          </w:tcPr>
          <w:p w14:paraId="27C8FFB7" w14:textId="77777777" w:rsidR="00E40EC2" w:rsidRDefault="00000000">
            <w:pPr>
              <w:spacing w:line="288" w:lineRule="auto"/>
              <w:rPr>
                <w:lang w:eastAsia="zh-CN"/>
              </w:rPr>
            </w:pPr>
            <w:r>
              <w:rPr>
                <w:sz w:val="18"/>
                <w:lang w:eastAsia="zh-CN"/>
              </w:rPr>
              <w:t>中国区部分负荷/价格/流量字段可能缺失；因此应分别报告可用字段，并以核心碳强度方案为主、增强信号为扩展实验。</w:t>
            </w:r>
          </w:p>
        </w:tc>
      </w:tr>
      <w:tr w:rsidR="00E40EC2" w14:paraId="237C4ED9" w14:textId="77777777" w:rsidTr="001A5D8A">
        <w:trPr>
          <w:jc w:val="center"/>
        </w:trPr>
        <w:tc>
          <w:tcPr>
            <w:tcW w:w="0" w:type="auto"/>
            <w:tcMar>
              <w:top w:w="100" w:type="dxa"/>
              <w:left w:w="120" w:type="dxa"/>
              <w:bottom w:w="100" w:type="dxa"/>
              <w:right w:w="120" w:type="dxa"/>
            </w:tcMar>
            <w:vAlign w:val="center"/>
          </w:tcPr>
          <w:p w14:paraId="5490C7B4" w14:textId="77777777" w:rsidR="00E40EC2" w:rsidRDefault="00000000">
            <w:pPr>
              <w:spacing w:line="288" w:lineRule="auto"/>
            </w:pPr>
            <w:r>
              <w:rPr>
                <w:sz w:val="18"/>
              </w:rPr>
              <w:t>表述边界</w:t>
            </w:r>
          </w:p>
        </w:tc>
        <w:tc>
          <w:tcPr>
            <w:tcW w:w="0" w:type="auto"/>
            <w:tcMar>
              <w:top w:w="100" w:type="dxa"/>
              <w:left w:w="120" w:type="dxa"/>
              <w:bottom w:w="100" w:type="dxa"/>
              <w:right w:w="120" w:type="dxa"/>
            </w:tcMar>
            <w:vAlign w:val="center"/>
          </w:tcPr>
          <w:p w14:paraId="514A1E61" w14:textId="77777777" w:rsidR="00E40EC2" w:rsidRDefault="00000000">
            <w:pPr>
              <w:spacing w:line="288" w:lineRule="auto"/>
              <w:rPr>
                <w:lang w:eastAsia="zh-CN"/>
              </w:rPr>
            </w:pPr>
            <w:r>
              <w:rPr>
                <w:sz w:val="18"/>
                <w:lang w:eastAsia="zh-CN"/>
              </w:rPr>
              <w:t>不宣称实现真实绿电采购、不宣称真实数据中心调度收益；结果是基于公开电网信号和情景参数的决策支持评估。</w:t>
            </w:r>
          </w:p>
        </w:tc>
      </w:tr>
    </w:tbl>
    <w:p w14:paraId="72E9ABFA" w14:textId="77777777" w:rsidR="00E40EC2" w:rsidRDefault="00E40EC2">
      <w:pPr>
        <w:spacing w:after="40"/>
        <w:rPr>
          <w:lang w:eastAsia="zh-CN"/>
        </w:rPr>
      </w:pPr>
    </w:p>
    <w:p w14:paraId="09778B29" w14:textId="77777777" w:rsidR="00E40EC2" w:rsidRDefault="00000000">
      <w:pPr>
        <w:keepNext/>
        <w:spacing w:before="320" w:after="160"/>
        <w:rPr>
          <w:lang w:eastAsia="zh-CN"/>
        </w:rPr>
      </w:pPr>
      <w:r>
        <w:rPr>
          <w:b/>
          <w:sz w:val="30"/>
          <w:lang w:eastAsia="zh-CN"/>
        </w:rPr>
        <w:t>九、论文建议结构</w:t>
      </w:r>
    </w:p>
    <w:p w14:paraId="4A2268C1" w14:textId="77777777" w:rsidR="00E40EC2" w:rsidRDefault="00000000">
      <w:pPr>
        <w:spacing w:after="120" w:line="307" w:lineRule="auto"/>
        <w:ind w:firstLine="420"/>
        <w:jc w:val="both"/>
        <w:rPr>
          <w:lang w:eastAsia="zh-CN"/>
        </w:rPr>
      </w:pPr>
      <w:r>
        <w:rPr>
          <w:lang w:eastAsia="zh-CN"/>
        </w:rPr>
        <w:t>第1章引言：AI负荷增长、碳预算压力和问题定义。第2章相关工作：碳感知计算、AI碳核算、电网碳强度预测与状态建模。第3章方法：预测层、容量模型与风险预警。第4章数据与实验：数据审计、预测实验、容量情景。第5章结果与讨论：预测性能、容量收益、鲁棒性与边界。第6章结论。论文题目可暂定为《面向清洁电力匹配约束的AI绿色计算容量预测与碳预算风险预警》。</w:t>
      </w:r>
    </w:p>
    <w:p w14:paraId="25198B2F" w14:textId="77777777" w:rsidR="00E40EC2" w:rsidRDefault="00000000">
      <w:pPr>
        <w:keepNext/>
        <w:spacing w:before="320" w:after="160"/>
      </w:pPr>
      <w:r>
        <w:rPr>
          <w:b/>
          <w:sz w:val="30"/>
        </w:rPr>
        <w:t>参考文献</w:t>
      </w:r>
    </w:p>
    <w:p w14:paraId="5FFD4019" w14:textId="77777777" w:rsidR="00E40EC2" w:rsidRDefault="00000000">
      <w:pPr>
        <w:spacing w:after="60"/>
        <w:ind w:left="420" w:hanging="420"/>
      </w:pPr>
      <w:r>
        <w:rPr>
          <w:sz w:val="19"/>
        </w:rPr>
        <w:t>[1] Radovanović A, Koningstein R, Schneider I, et al. Carbon-Aware Computing for Datacenters[J]. IEEE Transactions on Power Systems, 2023, 38(2): 1270-1280. DOI: 10.1109/TPWRS.2022.3173250.</w:t>
      </w:r>
    </w:p>
    <w:p w14:paraId="1190D780" w14:textId="77777777" w:rsidR="00E40EC2" w:rsidRDefault="00000000">
      <w:pPr>
        <w:spacing w:after="60"/>
        <w:ind w:left="420" w:hanging="420"/>
      </w:pPr>
      <w:r>
        <w:rPr>
          <w:sz w:val="19"/>
        </w:rPr>
        <w:t>[2] Dodge J, Prewitt T, Tachet des Combes R, et al. Measuring the Carbon Intensity of AI in Cloud Instances[C]//Proceedings of the 2022 ACM Conference on Fairness, Accountability, and Transparency. 2022: 1877-1894. DOI: 10.1145/3531146.3533234.</w:t>
      </w:r>
    </w:p>
    <w:p w14:paraId="7CA809DC" w14:textId="77777777" w:rsidR="00E40EC2" w:rsidRDefault="00000000">
      <w:pPr>
        <w:spacing w:after="60"/>
        <w:ind w:left="420" w:hanging="420"/>
      </w:pPr>
      <w:r>
        <w:rPr>
          <w:sz w:val="19"/>
        </w:rPr>
        <w:t>[3] Hall S, Micheli F, Belgioioso G, Radovanović A, Dörfler F. Carbon-Aware Computing for Data Centers with Probabilistic Performance Guarantees[EB/OL]. arXiv:2410.21510, 2024.</w:t>
      </w:r>
    </w:p>
    <w:p w14:paraId="558F3E3F" w14:textId="77777777" w:rsidR="00E40EC2" w:rsidRDefault="00000000">
      <w:pPr>
        <w:spacing w:after="60"/>
        <w:ind w:left="420" w:hanging="420"/>
      </w:pPr>
      <w:r>
        <w:rPr>
          <w:sz w:val="19"/>
        </w:rPr>
        <w:t>[4] Ilhan F, Karaahmetoglu O, Balaban I, Kozat S S. Markovian RNN: An Adaptive Time Series Prediction Network With HMM-Based Switching for Nonstationary Environments[J]. IEEE Transactions on Neural Networks and Learning Systems, 2023, 34(2): 715-728. DOI: 10.1109/TNNLS.2021.3100528.</w:t>
      </w:r>
    </w:p>
    <w:p w14:paraId="7353E481" w14:textId="77777777" w:rsidR="00E40EC2" w:rsidRDefault="00000000">
      <w:pPr>
        <w:spacing w:after="60"/>
        <w:ind w:left="420" w:hanging="420"/>
      </w:pPr>
      <w:r>
        <w:rPr>
          <w:sz w:val="19"/>
        </w:rPr>
        <w:t>[5] Hamilton J D. A New Approach to the Economic Analysis of Nonstationary Time Series and the Business Cycle[J]. Econometrica, 1989, 57(2): 357-384.</w:t>
      </w:r>
    </w:p>
    <w:p w14:paraId="74721F19" w14:textId="77777777" w:rsidR="00E40EC2" w:rsidRDefault="00000000">
      <w:pPr>
        <w:spacing w:after="60"/>
        <w:ind w:left="420" w:hanging="420"/>
      </w:pPr>
      <w:r>
        <w:rPr>
          <w:sz w:val="19"/>
        </w:rPr>
        <w:t>[6] Lai G, Chang W C, Yang Y, Liu H. Modeling Long- and Short-Term Temporal Patterns with Deep Neural Networks[C]//Proceedings of the 41st International ACM SIGIR Conference. 2018: 95-104. DOI: 10.1145/3209978.3210006.</w:t>
      </w:r>
    </w:p>
    <w:p w14:paraId="591FF432" w14:textId="77777777" w:rsidR="00E40EC2" w:rsidRDefault="00000000">
      <w:pPr>
        <w:spacing w:after="60"/>
        <w:ind w:left="420" w:hanging="420"/>
      </w:pPr>
      <w:r>
        <w:rPr>
          <w:sz w:val="19"/>
        </w:rPr>
        <w:t>[7] Henderson P, Hu J, Romoff J, et al. Towards the Systematic Reporting of the Energy and Carbon Footprints of Machine Learning[J]. Journal of Machine Learning Research, 2020, 21(248): 1-43.</w:t>
      </w:r>
    </w:p>
    <w:p w14:paraId="39E81495" w14:textId="77777777" w:rsidR="00E40EC2" w:rsidRDefault="00000000">
      <w:pPr>
        <w:spacing w:after="60"/>
        <w:ind w:left="420" w:hanging="420"/>
      </w:pPr>
      <w:r>
        <w:rPr>
          <w:sz w:val="19"/>
        </w:rPr>
        <w:lastRenderedPageBreak/>
        <w:t>[8] Strubell E, Ganesh A, McCallum A. Energy and Policy Considerations for Deep Learning in NLP[C]//Proceedings of ACL. 2019: 3645-3650. DOI: 10.18653/v1/P19-1355.</w:t>
      </w:r>
    </w:p>
    <w:p w14:paraId="176A599E" w14:textId="77777777" w:rsidR="00E40EC2" w:rsidRDefault="00000000">
      <w:pPr>
        <w:spacing w:after="60"/>
        <w:ind w:left="420" w:hanging="420"/>
      </w:pPr>
      <w:r>
        <w:rPr>
          <w:sz w:val="19"/>
        </w:rPr>
        <w:t>[9] International Energy Agency. Energy and AI[R/OL]. Paris: IEA, 2025.</w:t>
      </w:r>
    </w:p>
    <w:p w14:paraId="65FCD2CB" w14:textId="77777777" w:rsidR="00E40EC2" w:rsidRDefault="00000000">
      <w:pPr>
        <w:spacing w:after="60"/>
        <w:ind w:left="420" w:hanging="420"/>
      </w:pPr>
      <w:r>
        <w:rPr>
          <w:sz w:val="19"/>
        </w:rPr>
        <w:t>[10] Electricity Maps. API Documentation: Signals and Historical Data[EB/OL]. https://app.electricitymaps.com/developer-hub/api/signals, accessed 2026-07-13.</w:t>
      </w:r>
    </w:p>
    <w:p w14:paraId="2F2FB221" w14:textId="77777777" w:rsidR="00E40EC2" w:rsidRDefault="00000000">
      <w:pPr>
        <w:keepNext/>
        <w:spacing w:before="320" w:after="160"/>
      </w:pPr>
      <w:r>
        <w:rPr>
          <w:b/>
          <w:sz w:val="30"/>
        </w:rPr>
        <w:t>参考文献对照表</w:t>
      </w:r>
    </w:p>
    <w:tbl>
      <w:tblPr>
        <w:tblStyle w:val="aff1"/>
        <w:tblW w:w="0" w:type="auto"/>
        <w:jc w:val="center"/>
        <w:tblLayout w:type="fixed"/>
        <w:tblLook w:val="04A0" w:firstRow="1" w:lastRow="0" w:firstColumn="1" w:lastColumn="0" w:noHBand="0" w:noVBand="1"/>
      </w:tblPr>
      <w:tblGrid>
        <w:gridCol w:w="4564"/>
        <w:gridCol w:w="5499"/>
      </w:tblGrid>
      <w:tr w:rsidR="00E40EC2" w14:paraId="3B56A701" w14:textId="77777777">
        <w:trPr>
          <w:tblHeader/>
          <w:jc w:val="center"/>
        </w:trPr>
        <w:tc>
          <w:tcPr>
            <w:tcW w:w="4081" w:type="dxa"/>
            <w:tcMar>
              <w:top w:w="100" w:type="dxa"/>
              <w:left w:w="120" w:type="dxa"/>
              <w:bottom w:w="100" w:type="dxa"/>
              <w:right w:w="120" w:type="dxa"/>
            </w:tcMar>
            <w:vAlign w:val="center"/>
          </w:tcPr>
          <w:p w14:paraId="53D1638B" w14:textId="77777777" w:rsidR="00E40EC2" w:rsidRDefault="00000000">
            <w:pPr>
              <w:spacing w:line="288" w:lineRule="auto"/>
              <w:jc w:val="center"/>
            </w:pPr>
            <w:r>
              <w:rPr>
                <w:b/>
                <w:sz w:val="19"/>
              </w:rPr>
              <w:t>文献名字</w:t>
            </w:r>
          </w:p>
        </w:tc>
        <w:tc>
          <w:tcPr>
            <w:tcW w:w="5499" w:type="dxa"/>
            <w:tcMar>
              <w:top w:w="100" w:type="dxa"/>
              <w:left w:w="120" w:type="dxa"/>
              <w:bottom w:w="100" w:type="dxa"/>
              <w:right w:w="120" w:type="dxa"/>
            </w:tcMar>
            <w:vAlign w:val="center"/>
          </w:tcPr>
          <w:p w14:paraId="22E4B73F" w14:textId="77777777" w:rsidR="00E40EC2" w:rsidRDefault="00000000">
            <w:pPr>
              <w:spacing w:line="288" w:lineRule="auto"/>
              <w:jc w:val="center"/>
            </w:pPr>
            <w:r>
              <w:rPr>
                <w:b/>
                <w:sz w:val="19"/>
              </w:rPr>
              <w:t>研究内容概括</w:t>
            </w:r>
          </w:p>
        </w:tc>
      </w:tr>
      <w:tr w:rsidR="00E40EC2" w14:paraId="316DF51A" w14:textId="77777777">
        <w:trPr>
          <w:jc w:val="center"/>
        </w:trPr>
        <w:tc>
          <w:tcPr>
            <w:tcW w:w="4564" w:type="dxa"/>
            <w:tcMar>
              <w:top w:w="100" w:type="dxa"/>
              <w:left w:w="120" w:type="dxa"/>
              <w:bottom w:w="100" w:type="dxa"/>
              <w:right w:w="120" w:type="dxa"/>
            </w:tcMar>
            <w:vAlign w:val="center"/>
          </w:tcPr>
          <w:p w14:paraId="0651B745" w14:textId="77777777" w:rsidR="00E40EC2" w:rsidRDefault="00000000">
            <w:pPr>
              <w:spacing w:line="288" w:lineRule="auto"/>
            </w:pPr>
            <w:r>
              <w:rPr>
                <w:sz w:val="18"/>
              </w:rPr>
              <w:t>Carbon-Aware Computing for Datacenters</w:t>
            </w:r>
          </w:p>
        </w:tc>
        <w:tc>
          <w:tcPr>
            <w:tcW w:w="4564" w:type="dxa"/>
            <w:tcMar>
              <w:top w:w="100" w:type="dxa"/>
              <w:left w:w="120" w:type="dxa"/>
              <w:bottom w:w="100" w:type="dxa"/>
              <w:right w:w="120" w:type="dxa"/>
            </w:tcMar>
            <w:vAlign w:val="center"/>
          </w:tcPr>
          <w:p w14:paraId="07F086BF" w14:textId="77777777" w:rsidR="00E40EC2" w:rsidRDefault="00000000">
            <w:pPr>
              <w:spacing w:line="288" w:lineRule="auto"/>
              <w:rPr>
                <w:lang w:eastAsia="zh-CN"/>
              </w:rPr>
            </w:pPr>
            <w:r>
              <w:rPr>
                <w:sz w:val="18"/>
                <w:lang w:eastAsia="zh-CN"/>
              </w:rPr>
              <w:t>提出数据中心碳感知计算管理系统，以日前碳强度预测形成可用计算容量曲线；是本文“预测到容量”转换的直接依据。</w:t>
            </w:r>
          </w:p>
        </w:tc>
      </w:tr>
      <w:tr w:rsidR="00E40EC2" w14:paraId="4A59B815" w14:textId="77777777">
        <w:trPr>
          <w:jc w:val="center"/>
        </w:trPr>
        <w:tc>
          <w:tcPr>
            <w:tcW w:w="4564" w:type="dxa"/>
            <w:tcMar>
              <w:top w:w="100" w:type="dxa"/>
              <w:left w:w="120" w:type="dxa"/>
              <w:bottom w:w="100" w:type="dxa"/>
              <w:right w:w="120" w:type="dxa"/>
            </w:tcMar>
            <w:vAlign w:val="center"/>
          </w:tcPr>
          <w:p w14:paraId="6260A442" w14:textId="77777777" w:rsidR="00E40EC2" w:rsidRDefault="00000000">
            <w:pPr>
              <w:spacing w:line="288" w:lineRule="auto"/>
            </w:pPr>
            <w:r>
              <w:rPr>
                <w:sz w:val="18"/>
              </w:rPr>
              <w:t>Measuring the Carbon Intensity of AI in Cloud Instances</w:t>
            </w:r>
          </w:p>
        </w:tc>
        <w:tc>
          <w:tcPr>
            <w:tcW w:w="4564" w:type="dxa"/>
            <w:tcMar>
              <w:top w:w="100" w:type="dxa"/>
              <w:left w:w="120" w:type="dxa"/>
              <w:bottom w:w="100" w:type="dxa"/>
              <w:right w:w="120" w:type="dxa"/>
            </w:tcMar>
            <w:vAlign w:val="center"/>
          </w:tcPr>
          <w:p w14:paraId="308A728F" w14:textId="77777777" w:rsidR="00E40EC2" w:rsidRDefault="00000000">
            <w:pPr>
              <w:spacing w:line="288" w:lineRule="auto"/>
              <w:rPr>
                <w:lang w:eastAsia="zh-CN"/>
              </w:rPr>
            </w:pPr>
            <w:r>
              <w:rPr>
                <w:sz w:val="18"/>
                <w:lang w:eastAsia="zh-CN"/>
              </w:rPr>
              <w:t>建立AI软件运行碳排放核算框架，说明时段与区域碳强度差异会显著影响AI运行排放。</w:t>
            </w:r>
          </w:p>
        </w:tc>
      </w:tr>
      <w:tr w:rsidR="00E40EC2" w14:paraId="735BD5A6" w14:textId="77777777">
        <w:trPr>
          <w:jc w:val="center"/>
        </w:trPr>
        <w:tc>
          <w:tcPr>
            <w:tcW w:w="4564" w:type="dxa"/>
            <w:tcMar>
              <w:top w:w="100" w:type="dxa"/>
              <w:left w:w="120" w:type="dxa"/>
              <w:bottom w:w="100" w:type="dxa"/>
              <w:right w:w="120" w:type="dxa"/>
            </w:tcMar>
            <w:vAlign w:val="center"/>
          </w:tcPr>
          <w:p w14:paraId="6EF7D930" w14:textId="77777777" w:rsidR="00E40EC2" w:rsidRDefault="00000000">
            <w:pPr>
              <w:spacing w:line="288" w:lineRule="auto"/>
            </w:pPr>
            <w:r>
              <w:rPr>
                <w:sz w:val="18"/>
              </w:rPr>
              <w:t>Carbon-Aware Computing for Data Centers with Probabilistic Performance Guarantees</w:t>
            </w:r>
          </w:p>
        </w:tc>
        <w:tc>
          <w:tcPr>
            <w:tcW w:w="4564" w:type="dxa"/>
            <w:tcMar>
              <w:top w:w="100" w:type="dxa"/>
              <w:left w:w="120" w:type="dxa"/>
              <w:bottom w:w="100" w:type="dxa"/>
              <w:right w:w="120" w:type="dxa"/>
            </w:tcMar>
            <w:vAlign w:val="center"/>
          </w:tcPr>
          <w:p w14:paraId="3554054B" w14:textId="77777777" w:rsidR="00E40EC2" w:rsidRDefault="00000000">
            <w:pPr>
              <w:spacing w:line="288" w:lineRule="auto"/>
              <w:rPr>
                <w:lang w:eastAsia="zh-CN"/>
              </w:rPr>
            </w:pPr>
            <w:r>
              <w:rPr>
                <w:sz w:val="18"/>
                <w:lang w:eastAsia="zh-CN"/>
              </w:rPr>
              <w:t>研究含不确定性和性能保证的数据中心碳感知负荷整形，支持本文加入风险缓冲与预测误差评估。</w:t>
            </w:r>
          </w:p>
        </w:tc>
      </w:tr>
      <w:tr w:rsidR="00E40EC2" w14:paraId="0B16E227" w14:textId="77777777">
        <w:trPr>
          <w:jc w:val="center"/>
        </w:trPr>
        <w:tc>
          <w:tcPr>
            <w:tcW w:w="4564" w:type="dxa"/>
            <w:tcMar>
              <w:top w:w="100" w:type="dxa"/>
              <w:left w:w="120" w:type="dxa"/>
              <w:bottom w:w="100" w:type="dxa"/>
              <w:right w:w="120" w:type="dxa"/>
            </w:tcMar>
            <w:vAlign w:val="center"/>
          </w:tcPr>
          <w:p w14:paraId="2520457B" w14:textId="77777777" w:rsidR="00E40EC2" w:rsidRDefault="00000000">
            <w:pPr>
              <w:spacing w:line="288" w:lineRule="auto"/>
            </w:pPr>
            <w:r>
              <w:rPr>
                <w:sz w:val="18"/>
              </w:rPr>
              <w:t>Markovian RNN</w:t>
            </w:r>
          </w:p>
        </w:tc>
        <w:tc>
          <w:tcPr>
            <w:tcW w:w="4564" w:type="dxa"/>
            <w:tcMar>
              <w:top w:w="100" w:type="dxa"/>
              <w:left w:w="120" w:type="dxa"/>
              <w:bottom w:w="100" w:type="dxa"/>
              <w:right w:w="120" w:type="dxa"/>
            </w:tcMar>
            <w:vAlign w:val="center"/>
          </w:tcPr>
          <w:p w14:paraId="6216430B" w14:textId="77777777" w:rsidR="00E40EC2" w:rsidRDefault="00000000">
            <w:pPr>
              <w:spacing w:line="288" w:lineRule="auto"/>
              <w:rPr>
                <w:lang w:eastAsia="zh-CN"/>
              </w:rPr>
            </w:pPr>
            <w:r>
              <w:rPr>
                <w:sz w:val="18"/>
                <w:lang w:eastAsia="zh-CN"/>
              </w:rPr>
              <w:t>以HMM状态概率控制不同循环单元的状态转移，为现有Markovian HMM—LSTM软门控提供方法依据。</w:t>
            </w:r>
          </w:p>
        </w:tc>
      </w:tr>
      <w:tr w:rsidR="00E40EC2" w14:paraId="71DBEC65" w14:textId="77777777">
        <w:trPr>
          <w:jc w:val="center"/>
        </w:trPr>
        <w:tc>
          <w:tcPr>
            <w:tcW w:w="4564" w:type="dxa"/>
            <w:tcMar>
              <w:top w:w="100" w:type="dxa"/>
              <w:left w:w="120" w:type="dxa"/>
              <w:bottom w:w="100" w:type="dxa"/>
              <w:right w:w="120" w:type="dxa"/>
            </w:tcMar>
            <w:vAlign w:val="center"/>
          </w:tcPr>
          <w:p w14:paraId="07EEADE4" w14:textId="77777777" w:rsidR="00E40EC2" w:rsidRDefault="00000000">
            <w:pPr>
              <w:spacing w:line="288" w:lineRule="auto"/>
            </w:pPr>
            <w:r>
              <w:rPr>
                <w:sz w:val="18"/>
              </w:rPr>
              <w:t>A New Approach to the Economic Analysis of Nonstationary Time Series</w:t>
            </w:r>
          </w:p>
        </w:tc>
        <w:tc>
          <w:tcPr>
            <w:tcW w:w="4564" w:type="dxa"/>
            <w:tcMar>
              <w:top w:w="100" w:type="dxa"/>
              <w:left w:w="120" w:type="dxa"/>
              <w:bottom w:w="100" w:type="dxa"/>
              <w:right w:w="120" w:type="dxa"/>
            </w:tcMar>
            <w:vAlign w:val="center"/>
          </w:tcPr>
          <w:p w14:paraId="6A91AE63" w14:textId="77777777" w:rsidR="00E40EC2" w:rsidRDefault="00000000">
            <w:pPr>
              <w:spacing w:line="288" w:lineRule="auto"/>
              <w:rPr>
                <w:lang w:eastAsia="zh-CN"/>
              </w:rPr>
            </w:pPr>
            <w:r>
              <w:rPr>
                <w:sz w:val="18"/>
                <w:lang w:eastAsia="zh-CN"/>
              </w:rPr>
              <w:t>提出马尔可夫状态转换建模思路，为电网碳强度的非平稳状态划分提供理论基础。</w:t>
            </w:r>
          </w:p>
        </w:tc>
      </w:tr>
      <w:tr w:rsidR="00E40EC2" w14:paraId="0E0CFA36" w14:textId="77777777">
        <w:trPr>
          <w:jc w:val="center"/>
        </w:trPr>
        <w:tc>
          <w:tcPr>
            <w:tcW w:w="4564" w:type="dxa"/>
            <w:tcMar>
              <w:top w:w="100" w:type="dxa"/>
              <w:left w:w="120" w:type="dxa"/>
              <w:bottom w:w="100" w:type="dxa"/>
              <w:right w:w="120" w:type="dxa"/>
            </w:tcMar>
            <w:vAlign w:val="center"/>
          </w:tcPr>
          <w:p w14:paraId="1D08D621" w14:textId="77777777" w:rsidR="00E40EC2" w:rsidRDefault="00000000">
            <w:pPr>
              <w:spacing w:line="288" w:lineRule="auto"/>
            </w:pPr>
            <w:r>
              <w:rPr>
                <w:sz w:val="18"/>
              </w:rPr>
              <w:t>Modeling Long- and Short-Term Temporal Patterns with Deep Neural Networks</w:t>
            </w:r>
          </w:p>
        </w:tc>
        <w:tc>
          <w:tcPr>
            <w:tcW w:w="4564" w:type="dxa"/>
            <w:tcMar>
              <w:top w:w="100" w:type="dxa"/>
              <w:left w:w="120" w:type="dxa"/>
              <w:bottom w:w="100" w:type="dxa"/>
              <w:right w:w="120" w:type="dxa"/>
            </w:tcMar>
            <w:vAlign w:val="center"/>
          </w:tcPr>
          <w:p w14:paraId="770B7824" w14:textId="77777777" w:rsidR="00E40EC2" w:rsidRDefault="00000000">
            <w:pPr>
              <w:spacing w:line="288" w:lineRule="auto"/>
              <w:rPr>
                <w:lang w:eastAsia="zh-CN"/>
              </w:rPr>
            </w:pPr>
            <w:r>
              <w:rPr>
                <w:sz w:val="18"/>
                <w:lang w:eastAsia="zh-CN"/>
              </w:rPr>
              <w:t>同时建模短期局部依赖与长期周期模式，支持24小时短期分支和168小时长期周期分支。</w:t>
            </w:r>
          </w:p>
        </w:tc>
      </w:tr>
      <w:tr w:rsidR="00E40EC2" w14:paraId="39FA697A" w14:textId="77777777">
        <w:trPr>
          <w:jc w:val="center"/>
        </w:trPr>
        <w:tc>
          <w:tcPr>
            <w:tcW w:w="4564" w:type="dxa"/>
            <w:tcMar>
              <w:top w:w="100" w:type="dxa"/>
              <w:left w:w="120" w:type="dxa"/>
              <w:bottom w:w="100" w:type="dxa"/>
              <w:right w:w="120" w:type="dxa"/>
            </w:tcMar>
            <w:vAlign w:val="center"/>
          </w:tcPr>
          <w:p w14:paraId="22E7AA48" w14:textId="77777777" w:rsidR="00E40EC2" w:rsidRDefault="00000000">
            <w:pPr>
              <w:spacing w:line="288" w:lineRule="auto"/>
            </w:pPr>
            <w:r>
              <w:rPr>
                <w:sz w:val="18"/>
              </w:rPr>
              <w:t>Towards the Systematic Reporting of the Energy and Carbon Footprints of Machine Learning</w:t>
            </w:r>
          </w:p>
        </w:tc>
        <w:tc>
          <w:tcPr>
            <w:tcW w:w="4564" w:type="dxa"/>
            <w:tcMar>
              <w:top w:w="100" w:type="dxa"/>
              <w:left w:w="120" w:type="dxa"/>
              <w:bottom w:w="100" w:type="dxa"/>
              <w:right w:w="120" w:type="dxa"/>
            </w:tcMar>
            <w:vAlign w:val="center"/>
          </w:tcPr>
          <w:p w14:paraId="2C7C5CA1" w14:textId="77777777" w:rsidR="00E40EC2" w:rsidRDefault="00000000">
            <w:pPr>
              <w:spacing w:line="288" w:lineRule="auto"/>
              <w:rPr>
                <w:lang w:eastAsia="zh-CN"/>
              </w:rPr>
            </w:pPr>
            <w:r>
              <w:rPr>
                <w:sz w:val="18"/>
                <w:lang w:eastAsia="zh-CN"/>
              </w:rPr>
              <w:t>提出机器学习能源与碳足迹的系统报告框架，支持本文明确单位算力能耗、情景参数与边界。</w:t>
            </w:r>
          </w:p>
        </w:tc>
      </w:tr>
      <w:tr w:rsidR="00E40EC2" w14:paraId="69C403C1" w14:textId="77777777">
        <w:trPr>
          <w:jc w:val="center"/>
        </w:trPr>
        <w:tc>
          <w:tcPr>
            <w:tcW w:w="4564" w:type="dxa"/>
            <w:tcMar>
              <w:top w:w="100" w:type="dxa"/>
              <w:left w:w="120" w:type="dxa"/>
              <w:bottom w:w="100" w:type="dxa"/>
              <w:right w:w="120" w:type="dxa"/>
            </w:tcMar>
            <w:vAlign w:val="center"/>
          </w:tcPr>
          <w:p w14:paraId="56AD30C1" w14:textId="77777777" w:rsidR="00E40EC2" w:rsidRDefault="00000000">
            <w:pPr>
              <w:spacing w:line="288" w:lineRule="auto"/>
            </w:pPr>
            <w:r>
              <w:rPr>
                <w:sz w:val="18"/>
              </w:rPr>
              <w:t>Energy and Policy Considerations for Deep Learning in NLP</w:t>
            </w:r>
          </w:p>
        </w:tc>
        <w:tc>
          <w:tcPr>
            <w:tcW w:w="4564" w:type="dxa"/>
            <w:tcMar>
              <w:top w:w="100" w:type="dxa"/>
              <w:left w:w="120" w:type="dxa"/>
              <w:bottom w:w="100" w:type="dxa"/>
              <w:right w:w="120" w:type="dxa"/>
            </w:tcMar>
            <w:vAlign w:val="center"/>
          </w:tcPr>
          <w:p w14:paraId="4D34483C" w14:textId="77777777" w:rsidR="00E40EC2" w:rsidRDefault="00000000">
            <w:pPr>
              <w:spacing w:line="288" w:lineRule="auto"/>
              <w:rPr>
                <w:lang w:eastAsia="zh-CN"/>
              </w:rPr>
            </w:pPr>
            <w:r>
              <w:rPr>
                <w:sz w:val="18"/>
                <w:lang w:eastAsia="zh-CN"/>
              </w:rPr>
              <w:t>揭示深度学习训练的能源与碳成本，说明面向AI负荷的碳预算研究具有现实意义。</w:t>
            </w:r>
          </w:p>
        </w:tc>
      </w:tr>
      <w:tr w:rsidR="00E40EC2" w14:paraId="1376CCF0" w14:textId="77777777">
        <w:trPr>
          <w:jc w:val="center"/>
        </w:trPr>
        <w:tc>
          <w:tcPr>
            <w:tcW w:w="4564" w:type="dxa"/>
            <w:tcMar>
              <w:top w:w="100" w:type="dxa"/>
              <w:left w:w="120" w:type="dxa"/>
              <w:bottom w:w="100" w:type="dxa"/>
              <w:right w:w="120" w:type="dxa"/>
            </w:tcMar>
            <w:vAlign w:val="center"/>
          </w:tcPr>
          <w:p w14:paraId="1FD0FAC7" w14:textId="77777777" w:rsidR="00E40EC2" w:rsidRDefault="00000000">
            <w:pPr>
              <w:spacing w:line="288" w:lineRule="auto"/>
            </w:pPr>
            <w:r>
              <w:rPr>
                <w:sz w:val="18"/>
              </w:rPr>
              <w:t>Energy and AI</w:t>
            </w:r>
          </w:p>
        </w:tc>
        <w:tc>
          <w:tcPr>
            <w:tcW w:w="4564" w:type="dxa"/>
            <w:tcMar>
              <w:top w:w="100" w:type="dxa"/>
              <w:left w:w="120" w:type="dxa"/>
              <w:bottom w:w="100" w:type="dxa"/>
              <w:right w:w="120" w:type="dxa"/>
            </w:tcMar>
            <w:vAlign w:val="center"/>
          </w:tcPr>
          <w:p w14:paraId="2F315AD8" w14:textId="77777777" w:rsidR="00E40EC2" w:rsidRDefault="00000000">
            <w:pPr>
              <w:spacing w:line="288" w:lineRule="auto"/>
              <w:rPr>
                <w:lang w:eastAsia="zh-CN"/>
              </w:rPr>
            </w:pPr>
            <w:r>
              <w:rPr>
                <w:sz w:val="18"/>
                <w:lang w:eastAsia="zh-CN"/>
              </w:rPr>
              <w:t>汇总AI相关能源需求与电力系统影响，支撑研究背景中AI负荷增长与电力需求压力的宏观论述。</w:t>
            </w:r>
          </w:p>
        </w:tc>
      </w:tr>
      <w:tr w:rsidR="00E40EC2" w14:paraId="64CFB7A8" w14:textId="77777777">
        <w:trPr>
          <w:jc w:val="center"/>
        </w:trPr>
        <w:tc>
          <w:tcPr>
            <w:tcW w:w="4564" w:type="dxa"/>
            <w:tcMar>
              <w:top w:w="100" w:type="dxa"/>
              <w:left w:w="120" w:type="dxa"/>
              <w:bottom w:w="100" w:type="dxa"/>
              <w:right w:w="120" w:type="dxa"/>
            </w:tcMar>
            <w:vAlign w:val="center"/>
          </w:tcPr>
          <w:p w14:paraId="4FA0DD11" w14:textId="77777777" w:rsidR="00E40EC2" w:rsidRDefault="00000000">
            <w:pPr>
              <w:spacing w:line="288" w:lineRule="auto"/>
            </w:pPr>
            <w:r>
              <w:rPr>
                <w:sz w:val="18"/>
              </w:rPr>
              <w:t>Electricity Maps API Documentation</w:t>
            </w:r>
          </w:p>
        </w:tc>
        <w:tc>
          <w:tcPr>
            <w:tcW w:w="4564" w:type="dxa"/>
            <w:tcMar>
              <w:top w:w="100" w:type="dxa"/>
              <w:left w:w="120" w:type="dxa"/>
              <w:bottom w:w="100" w:type="dxa"/>
              <w:right w:w="120" w:type="dxa"/>
            </w:tcMar>
            <w:vAlign w:val="center"/>
          </w:tcPr>
          <w:p w14:paraId="694DB2C2" w14:textId="77777777" w:rsidR="00E40EC2" w:rsidRDefault="00000000">
            <w:pPr>
              <w:spacing w:line="288" w:lineRule="auto"/>
              <w:rPr>
                <w:lang w:eastAsia="zh-CN"/>
              </w:rPr>
            </w:pPr>
            <w:r>
              <w:rPr>
                <w:sz w:val="18"/>
                <w:lang w:eastAsia="zh-CN"/>
              </w:rPr>
              <w:t>说明碳强度、负荷、清洁电力比例等小时级信号的定义与获取方式，是本文电网侧数据说明的依据。</w:t>
            </w:r>
          </w:p>
        </w:tc>
      </w:tr>
    </w:tbl>
    <w:p w14:paraId="0FC5998D" w14:textId="77777777" w:rsidR="00E40EC2" w:rsidRDefault="00E40EC2">
      <w:pPr>
        <w:spacing w:after="40"/>
        <w:rPr>
          <w:lang w:eastAsia="zh-CN"/>
        </w:rPr>
      </w:pPr>
    </w:p>
    <w:sectPr w:rsidR="00E40EC2" w:rsidSect="00034616">
      <w:headerReference w:type="default" r:id="rId8"/>
      <w:footerReference w:type="default" r:id="rId9"/>
      <w:pgSz w:w="11906" w:h="16838"/>
      <w:pgMar w:top="1389" w:right="1389" w:bottom="1276" w:left="138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5546D" w14:textId="77777777" w:rsidR="00102835" w:rsidRDefault="00102835">
      <w:pPr>
        <w:spacing w:after="0" w:line="240" w:lineRule="auto"/>
      </w:pPr>
      <w:r>
        <w:separator/>
      </w:r>
    </w:p>
  </w:endnote>
  <w:endnote w:type="continuationSeparator" w:id="0">
    <w:p w14:paraId="2AA6F633" w14:textId="77777777" w:rsidR="00102835" w:rsidRDefault="0010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A0C1" w14:textId="77777777" w:rsidR="00E40EC2" w:rsidRDefault="00000000">
    <w:pPr>
      <w:pStyle w:val="a7"/>
      <w:jc w:val="center"/>
    </w:pPr>
    <w:r>
      <w:rPr>
        <w:sz w:val="17"/>
      </w:rPr>
      <w:t>研究方案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6569" w14:textId="77777777" w:rsidR="00102835" w:rsidRDefault="00102835">
      <w:pPr>
        <w:spacing w:after="0" w:line="240" w:lineRule="auto"/>
      </w:pPr>
      <w:r>
        <w:separator/>
      </w:r>
    </w:p>
  </w:footnote>
  <w:footnote w:type="continuationSeparator" w:id="0">
    <w:p w14:paraId="2CA27541" w14:textId="77777777" w:rsidR="00102835" w:rsidRDefault="00102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205D" w14:textId="66DE4FFF" w:rsidR="00E40EC2" w:rsidRDefault="00E40EC2">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4379516">
    <w:abstractNumId w:val="8"/>
  </w:num>
  <w:num w:numId="2" w16cid:durableId="935207671">
    <w:abstractNumId w:val="6"/>
  </w:num>
  <w:num w:numId="3" w16cid:durableId="1444302020">
    <w:abstractNumId w:val="5"/>
  </w:num>
  <w:num w:numId="4" w16cid:durableId="1758483516">
    <w:abstractNumId w:val="4"/>
  </w:num>
  <w:num w:numId="5" w16cid:durableId="1880239294">
    <w:abstractNumId w:val="7"/>
  </w:num>
  <w:num w:numId="6" w16cid:durableId="1567378684">
    <w:abstractNumId w:val="3"/>
  </w:num>
  <w:num w:numId="7" w16cid:durableId="972060805">
    <w:abstractNumId w:val="2"/>
  </w:num>
  <w:num w:numId="8" w16cid:durableId="754328046">
    <w:abstractNumId w:val="1"/>
  </w:num>
  <w:num w:numId="9" w16cid:durableId="2146119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835"/>
    <w:rsid w:val="0015074B"/>
    <w:rsid w:val="001A5D8A"/>
    <w:rsid w:val="0029639D"/>
    <w:rsid w:val="00326F90"/>
    <w:rsid w:val="00900284"/>
    <w:rsid w:val="00AA1D8D"/>
    <w:rsid w:val="00B47730"/>
    <w:rsid w:val="00CB0664"/>
    <w:rsid w:val="00E40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7F897"/>
  <w14:defaultImageDpi w14:val="300"/>
  <w15:docId w15:val="{4533510F-9E87-48C0-A6B2-51ACC4C5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福滨 王</cp:lastModifiedBy>
  <cp:revision>3</cp:revision>
  <dcterms:created xsi:type="dcterms:W3CDTF">2013-12-23T23:15:00Z</dcterms:created>
  <dcterms:modified xsi:type="dcterms:W3CDTF">2026-07-13T03:37:00Z</dcterms:modified>
  <cp:category/>
</cp:coreProperties>
</file>