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60F8C" w14:textId="2499CB50" w:rsidR="00023037" w:rsidRPr="00DC0B34" w:rsidRDefault="00000000">
      <w:pPr>
        <w:jc w:val="center"/>
        <w:rPr>
          <w:sz w:val="28"/>
          <w:szCs w:val="28"/>
        </w:rPr>
      </w:pPr>
      <w:r w:rsidRPr="00DC0B34">
        <w:rPr>
          <w:sz w:val="32"/>
          <w:szCs w:val="28"/>
        </w:rPr>
        <w:t>基于HMM引导多尺度残差门控Attention-LSTM</w:t>
      </w:r>
    </w:p>
    <w:p w14:paraId="1FF28A8B" w14:textId="77777777" w:rsidR="00023037" w:rsidRPr="00DC0B34" w:rsidRDefault="00000000">
      <w:pPr>
        <w:pStyle w:val="1"/>
        <w:spacing w:before="160" w:after="80"/>
        <w:rPr>
          <w:color w:val="auto"/>
        </w:rPr>
      </w:pPr>
      <w:r w:rsidRPr="00DC0B34">
        <w:rPr>
          <w:color w:val="auto"/>
        </w:rPr>
        <w:t>一、研究背景与定位</w:t>
      </w:r>
    </w:p>
    <w:p w14:paraId="10B3EDD7" w14:textId="77777777" w:rsidR="00023037" w:rsidRPr="00DC0B34" w:rsidRDefault="00000000">
      <w:pPr>
        <w:spacing w:line="360" w:lineRule="auto"/>
        <w:ind w:firstLine="420"/>
        <w:rPr>
          <w:lang w:eastAsia="zh-CN"/>
        </w:rPr>
      </w:pPr>
      <w:r w:rsidRPr="00DC0B34">
        <w:rPr>
          <w:lang w:eastAsia="zh-CN"/>
        </w:rPr>
        <w:t>现有数据为Electricity Maps提供的中国区域小时级电力碳排放强度数据，覆盖2022年1月1日至2025年12月31日，共35064条记录。数据不存在时间戳重复或碳强度缺失，但全部记录均标记为估算值，因此论文中应表述为“中国区域小时级电力碳排放强度估算数据”，而不能称为实测数据。</w:t>
      </w:r>
    </w:p>
    <w:p w14:paraId="61B813F1" w14:textId="77777777" w:rsidR="00023037" w:rsidRPr="00DC0B34" w:rsidRDefault="00000000">
      <w:pPr>
        <w:spacing w:line="360" w:lineRule="auto"/>
        <w:ind w:firstLine="420"/>
        <w:rPr>
          <w:lang w:eastAsia="zh-CN"/>
        </w:rPr>
      </w:pPr>
      <w:r w:rsidRPr="00DC0B34">
        <w:rPr>
          <w:lang w:eastAsia="zh-CN"/>
        </w:rPr>
        <w:t>研究拟以中国电力碳强度的隐含状态识别、多时间尺度预测和高碳跃迁预警为核心，通过HMM识别低碳稳定、中碳波动、高碳上升和高碳持续等运行状态，再利用改进的Attention-LSTM完成未来1、6、12和24小时碳强度预测，并判断未来一段时间是否进入高碳状态。</w:t>
      </w:r>
    </w:p>
    <w:p w14:paraId="6DE1DF49" w14:textId="77777777" w:rsidR="00023037" w:rsidRPr="00DC0B34" w:rsidRDefault="00000000">
      <w:pPr>
        <w:pStyle w:val="1"/>
        <w:spacing w:before="160" w:after="80"/>
        <w:rPr>
          <w:color w:val="auto"/>
          <w:lang w:eastAsia="zh-CN"/>
        </w:rPr>
      </w:pPr>
      <w:r w:rsidRPr="00DC0B34">
        <w:rPr>
          <w:color w:val="auto"/>
          <w:lang w:eastAsia="zh-CN"/>
        </w:rPr>
        <w:t>二、文献综述</w:t>
      </w:r>
    </w:p>
    <w:p w14:paraId="0D3FF274" w14:textId="77777777" w:rsidR="00023037" w:rsidRPr="00DC0B34" w:rsidRDefault="00000000">
      <w:pPr>
        <w:pStyle w:val="21"/>
        <w:spacing w:before="160" w:after="80"/>
        <w:rPr>
          <w:color w:val="auto"/>
          <w:lang w:eastAsia="zh-CN"/>
        </w:rPr>
      </w:pPr>
      <w:r w:rsidRPr="00DC0B34">
        <w:rPr>
          <w:color w:val="auto"/>
          <w:lang w:eastAsia="zh-CN"/>
        </w:rPr>
        <w:t>（一）电力碳强度测算与预测研究</w:t>
      </w:r>
    </w:p>
    <w:p w14:paraId="6944F43A" w14:textId="77777777" w:rsidR="00023037" w:rsidRPr="00DC0B34" w:rsidRDefault="00000000">
      <w:pPr>
        <w:spacing w:line="360" w:lineRule="auto"/>
        <w:ind w:firstLine="420"/>
        <w:rPr>
          <w:lang w:eastAsia="zh-CN"/>
        </w:rPr>
      </w:pPr>
      <w:r w:rsidRPr="00DC0B34">
        <w:rPr>
          <w:lang w:eastAsia="zh-CN"/>
        </w:rPr>
        <w:t>电力碳排放强度研究早期主要集中于平均排放因子、边际排放因子及区域差异。Hawkes（2010）、Siler-Evans等（2012）指出，电力排放因子具有明显的时间差异和区域差异，单一平均值难以反映真实用电行为对应的排放变化。随后，电力碳强度研究逐渐由静态核算转向动态预测。Leerbeck等（2020）利用机器学习预测电网平均和边际二氧化碳排放强度，证明碳强度短期预测可以服务于低碳调度和需求响应。Maji等（2023）进一步开展多日电网碳强度预测，说明多步预测比单一下一时刻预测更符合实际调度需求。</w:t>
      </w:r>
    </w:p>
    <w:p w14:paraId="155A35BB" w14:textId="77777777" w:rsidR="00023037" w:rsidRPr="00DC0B34" w:rsidRDefault="00000000">
      <w:pPr>
        <w:pStyle w:val="21"/>
        <w:spacing w:before="160" w:after="80"/>
        <w:rPr>
          <w:color w:val="auto"/>
          <w:lang w:eastAsia="zh-CN"/>
        </w:rPr>
      </w:pPr>
      <w:r w:rsidRPr="00DC0B34">
        <w:rPr>
          <w:color w:val="auto"/>
          <w:lang w:eastAsia="zh-CN"/>
        </w:rPr>
        <w:t>（二）多尺度时间序列建模研究</w:t>
      </w:r>
    </w:p>
    <w:p w14:paraId="40CC068C" w14:textId="77777777" w:rsidR="00023037" w:rsidRPr="00DC0B34" w:rsidRDefault="00000000">
      <w:pPr>
        <w:spacing w:line="360" w:lineRule="auto"/>
        <w:ind w:firstLine="420"/>
        <w:rPr>
          <w:lang w:eastAsia="zh-CN"/>
        </w:rPr>
      </w:pPr>
      <w:r w:rsidRPr="00DC0B34">
        <w:rPr>
          <w:lang w:eastAsia="zh-CN"/>
        </w:rPr>
        <w:t>小时级电力碳强度同时具有短期惯性、24小时日周期和168小时周周期。Lai等提出LSTNet，通过循环网络、自回归分量等结构联合建模长期与短期模式；Bandara等提出LSTM-MSNet，强调多重季节周期对时间序列预测的重要作用。这些研究说明，仅使用单一24小时窗口可能难以兼顾短期变化与长期周期，因此本研究设置短期序列分支和长期周期分支，以分别提取局部波动和日周规律。</w:t>
      </w:r>
    </w:p>
    <w:p w14:paraId="6E240ADD" w14:textId="77777777" w:rsidR="00023037" w:rsidRPr="00DC0B34" w:rsidRDefault="00000000">
      <w:pPr>
        <w:pStyle w:val="21"/>
        <w:spacing w:before="160" w:after="80"/>
        <w:rPr>
          <w:color w:val="auto"/>
          <w:lang w:eastAsia="zh-CN"/>
        </w:rPr>
      </w:pPr>
      <w:r w:rsidRPr="00DC0B34">
        <w:rPr>
          <w:color w:val="auto"/>
          <w:lang w:eastAsia="zh-CN"/>
        </w:rPr>
        <w:t>（三）隐状态转换与深度时序模型研究</w:t>
      </w:r>
    </w:p>
    <w:p w14:paraId="77C1B099" w14:textId="77777777" w:rsidR="00023037" w:rsidRPr="00DC0B34" w:rsidRDefault="00000000">
      <w:pPr>
        <w:spacing w:line="360" w:lineRule="auto"/>
        <w:ind w:firstLine="420"/>
        <w:rPr>
          <w:lang w:eastAsia="zh-CN"/>
        </w:rPr>
      </w:pPr>
      <w:r w:rsidRPr="00DC0B34">
        <w:rPr>
          <w:lang w:eastAsia="zh-CN"/>
        </w:rPr>
        <w:t>Hamilton（1989）提出马尔可夫状态转换模型，将时间序列参数变化解释为不可观测状态之间的动态转换。该方法能够输出状态后验概率、状态转移矩阵和状态持续时间。Nikolaev等</w:t>
      </w:r>
      <w:r w:rsidRPr="00DC0B34">
        <w:rPr>
          <w:lang w:eastAsia="zh-CN"/>
        </w:rPr>
        <w:lastRenderedPageBreak/>
        <w:t>（2019）将状态转换机制与循环神经网络结合，提出Regime-Switching RNN；Ilhan等提出Markovian RNN；Xu等提出Deep Switching State Space Model。上述研究表明，隐状态信息不仅可以用于事后分类，也可以参与神经网络内部计算。基于此，本研究不再简单拼接HMM状态标签，而是利用状态后验概率生成门控权重，使网络在不同碳排放状态下调整特征提取方式。</w:t>
      </w:r>
    </w:p>
    <w:p w14:paraId="5CA0E893" w14:textId="77777777" w:rsidR="00023037" w:rsidRPr="00DC0B34" w:rsidRDefault="00000000">
      <w:pPr>
        <w:pStyle w:val="21"/>
        <w:spacing w:before="160" w:after="80"/>
        <w:rPr>
          <w:color w:val="auto"/>
          <w:lang w:eastAsia="zh-CN"/>
        </w:rPr>
      </w:pPr>
      <w:r w:rsidRPr="00DC0B34">
        <w:rPr>
          <w:color w:val="auto"/>
          <w:lang w:eastAsia="zh-CN"/>
        </w:rPr>
        <w:t>（四）注意力、残差与多任务研究</w:t>
      </w:r>
    </w:p>
    <w:p w14:paraId="24072725" w14:textId="77777777" w:rsidR="00023037" w:rsidRPr="00DC0B34" w:rsidRDefault="00000000">
      <w:pPr>
        <w:spacing w:line="360" w:lineRule="auto"/>
        <w:ind w:firstLine="420"/>
        <w:rPr>
          <w:lang w:eastAsia="zh-CN"/>
        </w:rPr>
      </w:pPr>
      <w:r w:rsidRPr="00DC0B34">
        <w:rPr>
          <w:lang w:eastAsia="zh-CN"/>
        </w:rPr>
        <w:t>Qin等提出DA-RNN，通过时间注意力选择对预测更重要的历史时刻。考虑到不同碳强度状态下重要时间段可能不同，本研究进一步将HMM状态概率引入注意力计算，形成状态条件时间注意力。另一方面，LSTNet将神经网络与线性自回归分量结合，为保留强短期惯性提供了直接依据。由于中国碳强度数据的一小时自相关较强，本研究增加线性惯性残差支路，避免深度模型把简单规律过度复杂化。</w:t>
      </w:r>
    </w:p>
    <w:p w14:paraId="417584D1" w14:textId="77777777" w:rsidR="00023037" w:rsidRPr="00DC0B34" w:rsidRDefault="00000000">
      <w:pPr>
        <w:spacing w:line="360" w:lineRule="auto"/>
        <w:ind w:firstLine="420"/>
        <w:rPr>
          <w:lang w:eastAsia="zh-CN"/>
        </w:rPr>
      </w:pPr>
      <w:r w:rsidRPr="00DC0B34">
        <w:rPr>
          <w:lang w:eastAsia="zh-CN"/>
        </w:rPr>
        <w:t>在输出任务方面，单纯进行下一小时三分类容易被短期惯性主导，也不足以体现状态转换价值。因此，本研究将多步碳强度回归与高碳状态跃迁分类相结合。多任务学习可以通过共享时序表征，使连续值预测和风险识别相互补充；对于高碳跃迁样本可能较少的问题，可比较加权交叉熵和Focal Loss。</w:t>
      </w:r>
    </w:p>
    <w:p w14:paraId="54751F9D" w14:textId="77777777" w:rsidR="00023037" w:rsidRPr="00DC0B34" w:rsidRDefault="00000000">
      <w:pPr>
        <w:pStyle w:val="21"/>
        <w:spacing w:before="160" w:after="80"/>
        <w:rPr>
          <w:color w:val="auto"/>
          <w:lang w:eastAsia="zh-CN"/>
        </w:rPr>
      </w:pPr>
      <w:r w:rsidRPr="00DC0B34">
        <w:rPr>
          <w:color w:val="auto"/>
          <w:lang w:eastAsia="zh-CN"/>
        </w:rPr>
        <w:t>（五）现有研究不足与本文切入点</w:t>
      </w:r>
    </w:p>
    <w:p w14:paraId="2C4AB423" w14:textId="77777777" w:rsidR="00023037" w:rsidRPr="00DC0B34" w:rsidRDefault="00000000">
      <w:pPr>
        <w:spacing w:line="360" w:lineRule="auto"/>
        <w:ind w:firstLine="420"/>
        <w:rPr>
          <w:lang w:eastAsia="zh-CN"/>
        </w:rPr>
      </w:pPr>
      <w:r w:rsidRPr="00DC0B34">
        <w:rPr>
          <w:lang w:eastAsia="zh-CN"/>
        </w:rPr>
        <w:t>现有研究已经分别讨论了碳强度预测、多尺度时序建模、状态转换和注意力机制，但仍存在三点不足：第一，多数电力碳强度研究以点预测为主，对高碳状态形成与持续过程关注不足；第二，HMM特征常被直接作为普通输入，状态信息容易被深度网络忽略；第三，短期惯性、日周周期和状态切换往往由单一模型统一处理，缺少有针对性的结构设计。本文据此提出HMM引导的多尺度残差门控Attention-LSTM，通过多尺度编码、状态门控、状态条件注意力和惯性残差支路进行组合改进。</w:t>
      </w:r>
    </w:p>
    <w:p w14:paraId="48ED5DFC" w14:textId="77777777" w:rsidR="00023037" w:rsidRPr="00DC0B34" w:rsidRDefault="00000000">
      <w:pPr>
        <w:pStyle w:val="1"/>
        <w:spacing w:before="160" w:after="80"/>
        <w:rPr>
          <w:color w:val="auto"/>
        </w:rPr>
      </w:pPr>
      <w:r w:rsidRPr="00DC0B34">
        <w:rPr>
          <w:color w:val="auto"/>
        </w:rPr>
        <w:t>三、拟解决的主要问题</w:t>
      </w:r>
    </w:p>
    <w:p w14:paraId="553B5A06" w14:textId="77777777" w:rsidR="00023037" w:rsidRPr="00DC0B34" w:rsidRDefault="00000000">
      <w:pPr>
        <w:pStyle w:val="a"/>
        <w:spacing w:line="336" w:lineRule="auto"/>
        <w:rPr>
          <w:lang w:eastAsia="zh-CN"/>
        </w:rPr>
      </w:pPr>
      <w:r w:rsidRPr="00DC0B34">
        <w:rPr>
          <w:lang w:eastAsia="zh-CN"/>
        </w:rPr>
        <w:t>识别中国小时级电力碳强度的潜在运行状态，并分析各状态的均值、波动、持续时间和转移概率。</w:t>
      </w:r>
    </w:p>
    <w:p w14:paraId="60F96AF9" w14:textId="77777777" w:rsidR="00023037" w:rsidRPr="00DC0B34" w:rsidRDefault="00000000">
      <w:pPr>
        <w:pStyle w:val="a"/>
        <w:spacing w:line="336" w:lineRule="auto"/>
        <w:rPr>
          <w:lang w:eastAsia="zh-CN"/>
        </w:rPr>
      </w:pPr>
      <w:r w:rsidRPr="00DC0B34">
        <w:rPr>
          <w:lang w:eastAsia="zh-CN"/>
        </w:rPr>
        <w:t>预测未来1、6、12和24小时的电力碳排放强度，比较不同预测步长下的模型稳定性。</w:t>
      </w:r>
    </w:p>
    <w:p w14:paraId="5B89C7A5" w14:textId="77777777" w:rsidR="00023037" w:rsidRPr="00DC0B34" w:rsidRDefault="00000000">
      <w:pPr>
        <w:pStyle w:val="a"/>
        <w:spacing w:line="336" w:lineRule="auto"/>
        <w:rPr>
          <w:lang w:eastAsia="zh-CN"/>
        </w:rPr>
      </w:pPr>
      <w:r w:rsidRPr="00DC0B34">
        <w:rPr>
          <w:lang w:eastAsia="zh-CN"/>
        </w:rPr>
        <w:t>识别未来6小时或24小时内由非高碳状态进入高碳状态的跃迁风险。</w:t>
      </w:r>
    </w:p>
    <w:p w14:paraId="4FBCE214" w14:textId="77777777" w:rsidR="00023037" w:rsidRPr="00DC0B34" w:rsidRDefault="00000000">
      <w:pPr>
        <w:pStyle w:val="a"/>
        <w:spacing w:line="336" w:lineRule="auto"/>
        <w:rPr>
          <w:lang w:eastAsia="zh-CN"/>
        </w:rPr>
      </w:pPr>
      <w:r w:rsidRPr="00DC0B34">
        <w:rPr>
          <w:lang w:eastAsia="zh-CN"/>
        </w:rPr>
        <w:t>检验多尺度分支、HMM状态门控、状态条件注意力和惯性残差支路是否分别带来性能提升。</w:t>
      </w:r>
    </w:p>
    <w:p w14:paraId="1C39EAA4" w14:textId="77777777" w:rsidR="00023037" w:rsidRPr="00DC0B34" w:rsidRDefault="00000000">
      <w:pPr>
        <w:pStyle w:val="1"/>
        <w:spacing w:before="160" w:after="80"/>
        <w:rPr>
          <w:color w:val="auto"/>
          <w:lang w:eastAsia="zh-CN"/>
        </w:rPr>
      </w:pPr>
      <w:r w:rsidRPr="00DC0B34">
        <w:rPr>
          <w:color w:val="auto"/>
          <w:lang w:eastAsia="zh-CN"/>
        </w:rPr>
        <w:lastRenderedPageBreak/>
        <w:t>四、数据基础与变量设计</w:t>
      </w:r>
    </w:p>
    <w:p w14:paraId="74EB5317" w14:textId="77777777" w:rsidR="00023037" w:rsidRPr="00DC0B34" w:rsidRDefault="00000000">
      <w:pPr>
        <w:spacing w:line="360" w:lineRule="auto"/>
        <w:ind w:firstLine="420"/>
      </w:pPr>
      <w:r w:rsidRPr="00DC0B34">
        <w:t>当前核心数据为Electricity Maps中国区域2022—2025年小时级碳强度数据。核心变量为carbon_intensity_gCO2eq_per_kWh，单位为gCO2eq/kWh。时间变量包括hour、weekday和month。后续若中国区域能够稳定获取Renewable Percentage、Carbon-Free Percentage、Total Load、Net Load或Electricity Mix，可将其作为扩展解释变量，但核心模型首先应能够在仅使用碳强度和时间特征的情况下完整运行。</w:t>
      </w:r>
    </w:p>
    <w:tbl>
      <w:tblPr>
        <w:tblStyle w:val="aff1"/>
        <w:tblW w:w="0" w:type="auto"/>
        <w:jc w:val="center"/>
        <w:tblLook w:val="04A0" w:firstRow="1" w:lastRow="0" w:firstColumn="1" w:lastColumn="0" w:noHBand="0" w:noVBand="1"/>
      </w:tblPr>
      <w:tblGrid>
        <w:gridCol w:w="3059"/>
        <w:gridCol w:w="3059"/>
        <w:gridCol w:w="3059"/>
      </w:tblGrid>
      <w:tr w:rsidR="00023037" w:rsidRPr="00DC0B34" w14:paraId="2FC06794" w14:textId="77777777">
        <w:trPr>
          <w:jc w:val="center"/>
        </w:trPr>
        <w:tc>
          <w:tcPr>
            <w:tcW w:w="3059" w:type="dxa"/>
            <w:vAlign w:val="center"/>
          </w:tcPr>
          <w:p w14:paraId="02DF9E6F" w14:textId="77777777" w:rsidR="00023037" w:rsidRPr="00DC0B34" w:rsidRDefault="00000000">
            <w:r w:rsidRPr="00DC0B34">
              <w:rPr>
                <w:b/>
                <w:sz w:val="21"/>
              </w:rPr>
              <w:t>变量类别</w:t>
            </w:r>
          </w:p>
        </w:tc>
        <w:tc>
          <w:tcPr>
            <w:tcW w:w="3059" w:type="dxa"/>
            <w:vAlign w:val="center"/>
          </w:tcPr>
          <w:p w14:paraId="57CDAC37" w14:textId="77777777" w:rsidR="00023037" w:rsidRPr="00DC0B34" w:rsidRDefault="00000000">
            <w:r w:rsidRPr="00DC0B34">
              <w:rPr>
                <w:b/>
                <w:sz w:val="21"/>
              </w:rPr>
              <w:t>主要内容</w:t>
            </w:r>
          </w:p>
        </w:tc>
        <w:tc>
          <w:tcPr>
            <w:tcW w:w="3059" w:type="dxa"/>
            <w:vAlign w:val="center"/>
          </w:tcPr>
          <w:p w14:paraId="0854940D" w14:textId="77777777" w:rsidR="00023037" w:rsidRPr="00DC0B34" w:rsidRDefault="00000000">
            <w:r w:rsidRPr="00DC0B34">
              <w:rPr>
                <w:b/>
                <w:sz w:val="21"/>
              </w:rPr>
              <w:t>作用</w:t>
            </w:r>
          </w:p>
        </w:tc>
      </w:tr>
      <w:tr w:rsidR="00023037" w:rsidRPr="00DC0B34" w14:paraId="47082C6A" w14:textId="77777777">
        <w:trPr>
          <w:jc w:val="center"/>
        </w:trPr>
        <w:tc>
          <w:tcPr>
            <w:tcW w:w="3059" w:type="dxa"/>
          </w:tcPr>
          <w:p w14:paraId="03525CBB" w14:textId="77777777" w:rsidR="00023037" w:rsidRPr="00DC0B34" w:rsidRDefault="00000000">
            <w:r w:rsidRPr="00DC0B34">
              <w:rPr>
                <w:sz w:val="21"/>
              </w:rPr>
              <w:t>原始变量</w:t>
            </w:r>
          </w:p>
        </w:tc>
        <w:tc>
          <w:tcPr>
            <w:tcW w:w="3059" w:type="dxa"/>
          </w:tcPr>
          <w:p w14:paraId="09BC1BBF" w14:textId="77777777" w:rsidR="00023037" w:rsidRPr="00DC0B34" w:rsidRDefault="00000000">
            <w:pPr>
              <w:rPr>
                <w:lang w:eastAsia="zh-CN"/>
              </w:rPr>
            </w:pPr>
            <w:r w:rsidRPr="00DC0B34">
              <w:rPr>
                <w:sz w:val="21"/>
                <w:lang w:eastAsia="zh-CN"/>
              </w:rPr>
              <w:t>碳强度、小时、星期、月份</w:t>
            </w:r>
          </w:p>
        </w:tc>
        <w:tc>
          <w:tcPr>
            <w:tcW w:w="3059" w:type="dxa"/>
          </w:tcPr>
          <w:p w14:paraId="10812F81" w14:textId="77777777" w:rsidR="00023037" w:rsidRPr="00DC0B34" w:rsidRDefault="00000000">
            <w:r w:rsidRPr="00DC0B34">
              <w:rPr>
                <w:sz w:val="21"/>
              </w:rPr>
              <w:t>构成基础时间序列</w:t>
            </w:r>
          </w:p>
        </w:tc>
      </w:tr>
      <w:tr w:rsidR="00023037" w:rsidRPr="00DC0B34" w14:paraId="2D4B15E8" w14:textId="77777777">
        <w:trPr>
          <w:jc w:val="center"/>
        </w:trPr>
        <w:tc>
          <w:tcPr>
            <w:tcW w:w="3059" w:type="dxa"/>
          </w:tcPr>
          <w:p w14:paraId="1F9CB0D2" w14:textId="77777777" w:rsidR="00023037" w:rsidRPr="00DC0B34" w:rsidRDefault="00000000">
            <w:r w:rsidRPr="00DC0B34">
              <w:rPr>
                <w:sz w:val="21"/>
              </w:rPr>
              <w:t>滞后变量</w:t>
            </w:r>
          </w:p>
        </w:tc>
        <w:tc>
          <w:tcPr>
            <w:tcW w:w="3059" w:type="dxa"/>
          </w:tcPr>
          <w:p w14:paraId="59381D0A" w14:textId="77777777" w:rsidR="00023037" w:rsidRPr="00DC0B34" w:rsidRDefault="00000000">
            <w:r w:rsidRPr="00DC0B34">
              <w:rPr>
                <w:sz w:val="21"/>
              </w:rPr>
              <w:t>1、6、24、168小时滞后</w:t>
            </w:r>
          </w:p>
        </w:tc>
        <w:tc>
          <w:tcPr>
            <w:tcW w:w="3059" w:type="dxa"/>
          </w:tcPr>
          <w:p w14:paraId="58BEDDAD" w14:textId="77777777" w:rsidR="00023037" w:rsidRPr="00DC0B34" w:rsidRDefault="00000000">
            <w:pPr>
              <w:rPr>
                <w:lang w:eastAsia="zh-CN"/>
              </w:rPr>
            </w:pPr>
            <w:r w:rsidRPr="00DC0B34">
              <w:rPr>
                <w:sz w:val="21"/>
                <w:lang w:eastAsia="zh-CN"/>
              </w:rPr>
              <w:t>刻画短期惯性、日周期和周周期</w:t>
            </w:r>
          </w:p>
        </w:tc>
      </w:tr>
      <w:tr w:rsidR="00023037" w:rsidRPr="00DC0B34" w14:paraId="4211C103" w14:textId="77777777">
        <w:trPr>
          <w:jc w:val="center"/>
        </w:trPr>
        <w:tc>
          <w:tcPr>
            <w:tcW w:w="3059" w:type="dxa"/>
          </w:tcPr>
          <w:p w14:paraId="349439E0" w14:textId="77777777" w:rsidR="00023037" w:rsidRPr="00DC0B34" w:rsidRDefault="00000000">
            <w:r w:rsidRPr="00DC0B34">
              <w:rPr>
                <w:sz w:val="21"/>
              </w:rPr>
              <w:t>滚动变量</w:t>
            </w:r>
          </w:p>
        </w:tc>
        <w:tc>
          <w:tcPr>
            <w:tcW w:w="3059" w:type="dxa"/>
          </w:tcPr>
          <w:p w14:paraId="357D22FD" w14:textId="77777777" w:rsidR="00023037" w:rsidRPr="00DC0B34" w:rsidRDefault="00000000">
            <w:pPr>
              <w:rPr>
                <w:lang w:eastAsia="zh-CN"/>
              </w:rPr>
            </w:pPr>
            <w:r w:rsidRPr="00DC0B34">
              <w:rPr>
                <w:sz w:val="21"/>
                <w:lang w:eastAsia="zh-CN"/>
              </w:rPr>
              <w:t>6/24小时均值、标准差、最大值</w:t>
            </w:r>
          </w:p>
        </w:tc>
        <w:tc>
          <w:tcPr>
            <w:tcW w:w="3059" w:type="dxa"/>
          </w:tcPr>
          <w:p w14:paraId="1CB40ADF" w14:textId="77777777" w:rsidR="00023037" w:rsidRPr="00DC0B34" w:rsidRDefault="00000000">
            <w:r w:rsidRPr="00DC0B34">
              <w:rPr>
                <w:sz w:val="21"/>
              </w:rPr>
              <w:t>刻画近期水平与波动</w:t>
            </w:r>
          </w:p>
        </w:tc>
      </w:tr>
      <w:tr w:rsidR="00023037" w:rsidRPr="00DC0B34" w14:paraId="69CAA354" w14:textId="77777777">
        <w:trPr>
          <w:jc w:val="center"/>
        </w:trPr>
        <w:tc>
          <w:tcPr>
            <w:tcW w:w="3059" w:type="dxa"/>
          </w:tcPr>
          <w:p w14:paraId="3E266C2D" w14:textId="77777777" w:rsidR="00023037" w:rsidRPr="00DC0B34" w:rsidRDefault="00000000">
            <w:r w:rsidRPr="00DC0B34">
              <w:rPr>
                <w:sz w:val="21"/>
              </w:rPr>
              <w:t>HMM变量</w:t>
            </w:r>
          </w:p>
        </w:tc>
        <w:tc>
          <w:tcPr>
            <w:tcW w:w="3059" w:type="dxa"/>
          </w:tcPr>
          <w:p w14:paraId="6310DD40" w14:textId="77777777" w:rsidR="00023037" w:rsidRPr="00DC0B34" w:rsidRDefault="00000000">
            <w:pPr>
              <w:rPr>
                <w:lang w:eastAsia="zh-CN"/>
              </w:rPr>
            </w:pPr>
            <w:r w:rsidRPr="00DC0B34">
              <w:rPr>
                <w:sz w:val="21"/>
                <w:lang w:eastAsia="zh-CN"/>
              </w:rPr>
              <w:t>状态标签、后验概率、状态持续时间、转移概率</w:t>
            </w:r>
          </w:p>
        </w:tc>
        <w:tc>
          <w:tcPr>
            <w:tcW w:w="3059" w:type="dxa"/>
          </w:tcPr>
          <w:p w14:paraId="1904D777" w14:textId="77777777" w:rsidR="00023037" w:rsidRPr="00DC0B34" w:rsidRDefault="00000000">
            <w:r w:rsidRPr="00DC0B34">
              <w:rPr>
                <w:sz w:val="21"/>
              </w:rPr>
              <w:t>描述隐含运行机制</w:t>
            </w:r>
          </w:p>
        </w:tc>
      </w:tr>
      <w:tr w:rsidR="00023037" w:rsidRPr="00DC0B34" w14:paraId="2E9D93A0" w14:textId="77777777">
        <w:trPr>
          <w:jc w:val="center"/>
        </w:trPr>
        <w:tc>
          <w:tcPr>
            <w:tcW w:w="3059" w:type="dxa"/>
          </w:tcPr>
          <w:p w14:paraId="1DE8C913" w14:textId="77777777" w:rsidR="00023037" w:rsidRPr="00DC0B34" w:rsidRDefault="00000000">
            <w:r w:rsidRPr="00DC0B34">
              <w:rPr>
                <w:sz w:val="21"/>
              </w:rPr>
              <w:t>跃迁标签</w:t>
            </w:r>
          </w:p>
        </w:tc>
        <w:tc>
          <w:tcPr>
            <w:tcW w:w="3059" w:type="dxa"/>
          </w:tcPr>
          <w:p w14:paraId="0676A58A" w14:textId="77777777" w:rsidR="00023037" w:rsidRPr="00DC0B34" w:rsidRDefault="00000000">
            <w:pPr>
              <w:rPr>
                <w:lang w:eastAsia="zh-CN"/>
              </w:rPr>
            </w:pPr>
            <w:r w:rsidRPr="00DC0B34">
              <w:rPr>
                <w:sz w:val="21"/>
                <w:lang w:eastAsia="zh-CN"/>
              </w:rPr>
              <w:t>未来6小时是否进入高碳状态</w:t>
            </w:r>
          </w:p>
        </w:tc>
        <w:tc>
          <w:tcPr>
            <w:tcW w:w="3059" w:type="dxa"/>
          </w:tcPr>
          <w:p w14:paraId="10B94520" w14:textId="77777777" w:rsidR="00023037" w:rsidRPr="00DC0B34" w:rsidRDefault="00000000">
            <w:r w:rsidRPr="00DC0B34">
              <w:rPr>
                <w:sz w:val="21"/>
              </w:rPr>
              <w:t>用于高碳风险预警</w:t>
            </w:r>
          </w:p>
        </w:tc>
      </w:tr>
    </w:tbl>
    <w:p w14:paraId="6E352109" w14:textId="77777777" w:rsidR="00023037" w:rsidRPr="00DC0B34" w:rsidRDefault="00000000">
      <w:pPr>
        <w:pStyle w:val="1"/>
        <w:spacing w:before="160" w:after="80"/>
        <w:rPr>
          <w:color w:val="auto"/>
          <w:lang w:eastAsia="zh-CN"/>
        </w:rPr>
      </w:pPr>
      <w:r w:rsidRPr="00DC0B34">
        <w:rPr>
          <w:color w:val="auto"/>
          <w:lang w:eastAsia="zh-CN"/>
        </w:rPr>
        <w:t>五、研究方法与模型结构</w:t>
      </w:r>
    </w:p>
    <w:p w14:paraId="07415427" w14:textId="77777777" w:rsidR="00023037" w:rsidRPr="00DC0B34" w:rsidRDefault="00000000">
      <w:pPr>
        <w:spacing w:line="360" w:lineRule="auto"/>
        <w:ind w:firstLine="420"/>
        <w:rPr>
          <w:lang w:eastAsia="zh-CN"/>
        </w:rPr>
      </w:pPr>
      <w:r w:rsidRPr="00DC0B34">
        <w:rPr>
          <w:lang w:eastAsia="zh-CN"/>
        </w:rPr>
        <w:t>第一步，对原始小时级数据进行时间连续性检查、异常值处理和训练集标准化，并按照时间顺序划分训练集、验证集和测试集，避免随机切分造成未来信息泄漏。</w:t>
      </w:r>
    </w:p>
    <w:p w14:paraId="704615A3" w14:textId="77777777" w:rsidR="00023037" w:rsidRPr="00DC0B34" w:rsidRDefault="00000000">
      <w:pPr>
        <w:spacing w:line="360" w:lineRule="auto"/>
        <w:ind w:firstLine="420"/>
        <w:rPr>
          <w:lang w:eastAsia="zh-CN"/>
        </w:rPr>
      </w:pPr>
      <w:r w:rsidRPr="00DC0B34">
        <w:rPr>
          <w:lang w:eastAsia="zh-CN"/>
        </w:rPr>
        <w:t>第二步，在训练集上拟合高斯隐马尔可夫模型，通过BIC、状态可解释性和稳定性选择状态数。根据每个状态的平均碳强度、波动率、差分均值和持续时间，将状态解释为低碳稳定、中碳波动、高碳上升和高碳持续。</w:t>
      </w:r>
    </w:p>
    <w:p w14:paraId="4BB8F444" w14:textId="77777777" w:rsidR="00023037" w:rsidRPr="00DC0B34" w:rsidRDefault="00000000">
      <w:pPr>
        <w:spacing w:line="360" w:lineRule="auto"/>
        <w:ind w:firstLine="420"/>
        <w:rPr>
          <w:lang w:eastAsia="zh-CN"/>
        </w:rPr>
      </w:pPr>
      <w:r w:rsidRPr="00DC0B34">
        <w:rPr>
          <w:lang w:eastAsia="zh-CN"/>
        </w:rPr>
        <w:t>第三步，构建双尺度时序分支。短期分支输入最近24小时完整序列，用于学习短期惯性和局部变化；长期分支输入最近168小时的周期压缩特征，用于学习日周期和周周期。</w:t>
      </w:r>
    </w:p>
    <w:p w14:paraId="117FBDD5" w14:textId="77777777" w:rsidR="00023037" w:rsidRPr="00DC0B34" w:rsidRDefault="00000000">
      <w:pPr>
        <w:spacing w:line="360" w:lineRule="auto"/>
        <w:ind w:firstLine="420"/>
        <w:rPr>
          <w:lang w:eastAsia="zh-CN"/>
        </w:rPr>
      </w:pPr>
      <w:r w:rsidRPr="00DC0B34">
        <w:rPr>
          <w:lang w:eastAsia="zh-CN"/>
        </w:rPr>
        <w:t>第四步，将HMM后验状态概率映射为连续门控向量，对多尺度LSTM隐藏特征进行调节；同时在时间注意力计算中加入状态概率，使不同状态下的模型关注不同历史时刻。</w:t>
      </w:r>
    </w:p>
    <w:p w14:paraId="6CA241C8" w14:textId="77777777" w:rsidR="00023037" w:rsidRPr="00DC0B34" w:rsidRDefault="00000000">
      <w:pPr>
        <w:spacing w:line="360" w:lineRule="auto"/>
        <w:ind w:firstLine="420"/>
        <w:rPr>
          <w:lang w:eastAsia="zh-CN"/>
        </w:rPr>
      </w:pPr>
      <w:r w:rsidRPr="00DC0B34">
        <w:rPr>
          <w:lang w:eastAsia="zh-CN"/>
        </w:rPr>
        <w:t>第五步，增加线性惯性残差支路，直接使用当前值及关键滞后值形成基础预测，与深度分支结果相加。最终设置两个输出头：回归头预测未来1、6、12和24小时碳强度；分类头预测未来6小时是否发生高碳跃迁。</w:t>
      </w:r>
    </w:p>
    <w:p w14:paraId="27C298B5" w14:textId="77777777" w:rsidR="00023037" w:rsidRPr="00DC0B34" w:rsidRDefault="00000000">
      <w:pPr>
        <w:pStyle w:val="1"/>
        <w:spacing w:before="160" w:after="80"/>
        <w:rPr>
          <w:color w:val="auto"/>
        </w:rPr>
      </w:pPr>
      <w:r w:rsidRPr="00DC0B34">
        <w:rPr>
          <w:color w:val="auto"/>
        </w:rPr>
        <w:lastRenderedPageBreak/>
        <w:t>六、模型比较与评价</w:t>
      </w:r>
    </w:p>
    <w:p w14:paraId="6F6925C0" w14:textId="77777777" w:rsidR="00023037" w:rsidRPr="00DC0B34" w:rsidRDefault="00000000">
      <w:pPr>
        <w:spacing w:line="360" w:lineRule="auto"/>
        <w:ind w:firstLine="420"/>
      </w:pPr>
      <w:r w:rsidRPr="00DC0B34">
        <w:t>基线模型包括Seasonal Naive、线性回归、Random Forest、LightGBM、LSTM和普通Attention-LSTM。主模型与基线模型使用相同的训练、验证和测试时间区间。</w:t>
      </w:r>
    </w:p>
    <w:p w14:paraId="2FDA3A53" w14:textId="77777777" w:rsidR="00023037" w:rsidRPr="00DC0B34" w:rsidRDefault="00000000">
      <w:pPr>
        <w:spacing w:line="360" w:lineRule="auto"/>
        <w:ind w:firstLine="420"/>
        <w:rPr>
          <w:lang w:eastAsia="zh-CN"/>
        </w:rPr>
      </w:pPr>
      <w:r w:rsidRPr="00DC0B34">
        <w:t>多步回归采用MAE、RMSE、MAPE和R²评价；跃迁预警采用Precision、Recall、F1、ROC-AUC和PR-AUC评价。</w:t>
      </w:r>
      <w:r w:rsidRPr="00DC0B34">
        <w:rPr>
          <w:lang w:eastAsia="zh-CN"/>
        </w:rPr>
        <w:t>除总体比较外，还将开展消融实验，依次去除长期分支、HMM门控、状态条件注意力、线性残差支路和多任务分类头，验证各模块的独立作用。</w:t>
      </w:r>
    </w:p>
    <w:p w14:paraId="61FC5A7E" w14:textId="77777777" w:rsidR="00023037" w:rsidRPr="00DC0B34" w:rsidRDefault="00000000">
      <w:pPr>
        <w:pStyle w:val="1"/>
        <w:spacing w:before="160" w:after="80"/>
        <w:rPr>
          <w:color w:val="auto"/>
          <w:lang w:eastAsia="zh-CN"/>
        </w:rPr>
      </w:pPr>
      <w:r w:rsidRPr="00DC0B34">
        <w:rPr>
          <w:color w:val="auto"/>
          <w:lang w:eastAsia="zh-CN"/>
        </w:rPr>
        <w:t>七、预期创新与可行性</w:t>
      </w:r>
    </w:p>
    <w:p w14:paraId="29287389" w14:textId="77777777" w:rsidR="00023037" w:rsidRPr="00DC0B34" w:rsidRDefault="00000000">
      <w:pPr>
        <w:spacing w:line="360" w:lineRule="auto"/>
        <w:ind w:firstLine="420"/>
        <w:rPr>
          <w:lang w:eastAsia="zh-CN"/>
        </w:rPr>
      </w:pPr>
      <w:r w:rsidRPr="00DC0B34">
        <w:rPr>
          <w:lang w:eastAsia="zh-CN"/>
        </w:rPr>
        <w:t>本研究不将HMM、LSTM或Attention本身作为创新，而是针对中国小时级电力碳强度具有强短期惯性、多重周期和状态切换的特征进行组合性改进。具体包括：一是使用短期与长期双尺度分支；二是将HMM后验概率由普通拼接变量改为连续门控信息；三是在注意力计算中引入状态条件；四是利用线性残差支路保留碳强度惯性；五是联合完成多步数值预测和高碳跃迁预警。</w:t>
      </w:r>
    </w:p>
    <w:p w14:paraId="44326D06" w14:textId="4BA3A6AB" w:rsidR="00023037" w:rsidRPr="00DC0B34" w:rsidRDefault="00000000" w:rsidP="00DC0B34">
      <w:pPr>
        <w:spacing w:line="360" w:lineRule="auto"/>
        <w:ind w:firstLine="420"/>
        <w:rPr>
          <w:lang w:eastAsia="zh-CN"/>
        </w:rPr>
      </w:pPr>
      <w:r w:rsidRPr="00DC0B34">
        <w:rPr>
          <w:lang w:eastAsia="zh-CN"/>
        </w:rPr>
        <w:t>从可行性看，当前已经获得连续四年的小时级数据，样本量能够支持HMM和LSTM训练。模型可以在现有Attention-LSTM代码基础上逐步增加模块，无需直接采用结构更复杂的TFT。研究实施时将按照“基础模型—多尺度模型—HMM门控模型—完整主模型”的顺序推进，便于发现问题和开展消融实验。</w:t>
      </w:r>
    </w:p>
    <w:p w14:paraId="5D8D611C" w14:textId="77777777" w:rsidR="00023037" w:rsidRPr="00DC0B34" w:rsidRDefault="00000000">
      <w:pPr>
        <w:pStyle w:val="1"/>
        <w:spacing w:before="160" w:after="80"/>
        <w:rPr>
          <w:color w:val="auto"/>
        </w:rPr>
      </w:pPr>
      <w:r w:rsidRPr="00DC0B34">
        <w:rPr>
          <w:color w:val="auto"/>
        </w:rPr>
        <w:t>参考文献</w:t>
      </w:r>
    </w:p>
    <w:p w14:paraId="13D35886" w14:textId="77777777" w:rsidR="00023037" w:rsidRPr="00DC0B34" w:rsidRDefault="00000000">
      <w:pPr>
        <w:spacing w:line="300" w:lineRule="auto"/>
      </w:pPr>
      <w:r w:rsidRPr="00DC0B34">
        <w:t>[1] Hamilton J D. A new approach to the economic analysis of nonstationary time series and the business cycle[J]. Econometrica, 1989, 57(2): 357-384.</w:t>
      </w:r>
    </w:p>
    <w:p w14:paraId="2DF7CEFE" w14:textId="77777777" w:rsidR="00023037" w:rsidRPr="00DC0B34" w:rsidRDefault="00000000">
      <w:pPr>
        <w:spacing w:line="300" w:lineRule="auto"/>
      </w:pPr>
      <w:r w:rsidRPr="00DC0B34">
        <w:t>[2] Hawkes A D. Estimating marginal CO2 emissions rates for national electricity systems[J]. Energy Policy, 2010, 38(10): 5977-5987.</w:t>
      </w:r>
    </w:p>
    <w:p w14:paraId="16CCB699" w14:textId="77777777" w:rsidR="00023037" w:rsidRPr="00DC0B34" w:rsidRDefault="00000000">
      <w:pPr>
        <w:spacing w:line="300" w:lineRule="auto"/>
      </w:pPr>
      <w:r w:rsidRPr="00DC0B34">
        <w:t>[3] Siler-Evans K, Azevedo I L, Morgan M G. Marginal emissions factors for the U.S. electricity system[J]. Environmental Science &amp; Technology, 2012, 46(9): 4742-4748.</w:t>
      </w:r>
    </w:p>
    <w:p w14:paraId="4685DAA2" w14:textId="77777777" w:rsidR="00023037" w:rsidRPr="00DC0B34" w:rsidRDefault="00000000">
      <w:pPr>
        <w:spacing w:line="300" w:lineRule="auto"/>
      </w:pPr>
      <w:r w:rsidRPr="00DC0B34">
        <w:t>[4] Leerbeck K, Bacher P, Junker R G, et al. Short-term forecasting of CO2 emission intensity in power grids by machine learning[J]. Applied Energy, 2020, 277: 115527.</w:t>
      </w:r>
    </w:p>
    <w:p w14:paraId="18214488" w14:textId="77777777" w:rsidR="00023037" w:rsidRPr="00DC0B34" w:rsidRDefault="00000000">
      <w:pPr>
        <w:spacing w:line="300" w:lineRule="auto"/>
      </w:pPr>
      <w:r w:rsidRPr="00DC0B34">
        <w:lastRenderedPageBreak/>
        <w:t>[5] Maji D, Shenoy P, Sitaraman R K. Multi-day forecasting of electric grid carbon intensity using machine learning[J]. ACM SIGENERGY Energy Informatics Review, 2023, 3(2): 19-33.</w:t>
      </w:r>
    </w:p>
    <w:p w14:paraId="4F4EDA6A" w14:textId="77777777" w:rsidR="00023037" w:rsidRPr="00DC0B34" w:rsidRDefault="00000000">
      <w:pPr>
        <w:spacing w:line="300" w:lineRule="auto"/>
      </w:pPr>
      <w:r w:rsidRPr="00DC0B34">
        <w:t>[6] Lai G, Chang W C, Yang Y, Liu H. Modeling Long- and Short-Term Temporal Patterns with Deep Neural Networks[C]//SIGIR. 2018: 95-104.</w:t>
      </w:r>
    </w:p>
    <w:p w14:paraId="1F1DF983" w14:textId="77777777" w:rsidR="00023037" w:rsidRPr="00DC0B34" w:rsidRDefault="00000000">
      <w:pPr>
        <w:spacing w:line="300" w:lineRule="auto"/>
      </w:pPr>
      <w:r w:rsidRPr="00DC0B34">
        <w:t>[7] Bandara K, Bergmeir C, Hewamalage H. LSTM-MSNet: Leveraging forecasts on sets of related time series with multiple seasonal patterns[J]. IEEE Transactions on Neural Networks and Learning Systems, 2021, 32(4): 1586-1599.</w:t>
      </w:r>
    </w:p>
    <w:p w14:paraId="5BF9EABC" w14:textId="77777777" w:rsidR="00023037" w:rsidRPr="00DC0B34" w:rsidRDefault="00000000">
      <w:pPr>
        <w:spacing w:line="300" w:lineRule="auto"/>
      </w:pPr>
      <w:r w:rsidRPr="00DC0B34">
        <w:t>[8] Nikolaev N Y, Smirnov E, Stamate D, Zimmer R. A regime-switching recurrent neural network model applied to wind time series[J]. Applied Soft Computing, 2019, 80: 723-734.</w:t>
      </w:r>
    </w:p>
    <w:p w14:paraId="1DAF0777" w14:textId="77777777" w:rsidR="00023037" w:rsidRPr="00DC0B34" w:rsidRDefault="00000000">
      <w:pPr>
        <w:spacing w:line="300" w:lineRule="auto"/>
      </w:pPr>
      <w:r w:rsidRPr="00DC0B34">
        <w:t>[9] Ilhan F, Karaahmetoglu O, Balaban I, Kozat S S. Markovian RNN: An adaptive time series prediction network with HMM-based switching for nonstationary environments[EB/OL]. arXiv:2006.10119, 2020.</w:t>
      </w:r>
    </w:p>
    <w:p w14:paraId="5EBE198D" w14:textId="77777777" w:rsidR="00023037" w:rsidRPr="00DC0B34" w:rsidRDefault="00000000">
      <w:pPr>
        <w:spacing w:line="300" w:lineRule="auto"/>
      </w:pPr>
      <w:r w:rsidRPr="00DC0B34">
        <w:t>[10] Xu X, Peng H, Chen Y. Deep switching state space model for nonlinear time series forecasting with regime switching[EB/OL]. arXiv:2106.02329, 2021.</w:t>
      </w:r>
    </w:p>
    <w:p w14:paraId="3DE70E57" w14:textId="77777777" w:rsidR="00023037" w:rsidRPr="00DC0B34" w:rsidRDefault="00000000">
      <w:pPr>
        <w:spacing w:line="300" w:lineRule="auto"/>
      </w:pPr>
      <w:r w:rsidRPr="00DC0B34">
        <w:t>[11] Qin Y, Song D, Chen H, et al. A dual-stage attention-based recurrent neural network for time series prediction[C]//IJCAI. 2017: 2627-2633.</w:t>
      </w:r>
    </w:p>
    <w:p w14:paraId="641DEA75" w14:textId="77777777" w:rsidR="00023037" w:rsidRPr="00DC0B34" w:rsidRDefault="00000000">
      <w:pPr>
        <w:spacing w:line="300" w:lineRule="auto"/>
      </w:pPr>
      <w:r w:rsidRPr="00DC0B34">
        <w:t>[12] Lin T Y, Goyal P, Girshick R, He K, Dollár P. Focal loss for dense object detection[C]//ICCV. 2017: 2980-2988.</w:t>
      </w:r>
    </w:p>
    <w:sectPr w:rsidR="00023037" w:rsidRPr="00DC0B34" w:rsidSect="00034616">
      <w:footerReference w:type="default" r:id="rId8"/>
      <w:pgSz w:w="12240" w:h="15840"/>
      <w:pgMar w:top="1361" w:right="1531" w:bottom="1361" w:left="153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174FC" w14:textId="77777777" w:rsidR="00BE4C63" w:rsidRDefault="00BE4C63">
      <w:pPr>
        <w:spacing w:after="0" w:line="240" w:lineRule="auto"/>
      </w:pPr>
      <w:r>
        <w:separator/>
      </w:r>
    </w:p>
  </w:endnote>
  <w:endnote w:type="continuationSeparator" w:id="0">
    <w:p w14:paraId="10FF7D07" w14:textId="77777777" w:rsidR="00BE4C63" w:rsidRDefault="00BE4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49791" w14:textId="77777777" w:rsidR="00023037" w:rsidRDefault="00000000">
    <w:pPr>
      <w:pStyle w:val="a7"/>
      <w:jc w:val="center"/>
    </w:pPr>
    <w:r>
      <w:fldChar w:fldCharType="begin"/>
    </w:r>
    <w:r>
      <w:instrText xml:space="preserve"> PAGE </w:instrText>
    </w:r>
    <w:r>
      <w:fldChar w:fldCharType="separate"/>
    </w:r>
    <w:r w:rsidR="00A76B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8BBE4" w14:textId="77777777" w:rsidR="00BE4C63" w:rsidRDefault="00BE4C63">
      <w:pPr>
        <w:spacing w:after="0" w:line="240" w:lineRule="auto"/>
      </w:pPr>
      <w:r>
        <w:separator/>
      </w:r>
    </w:p>
  </w:footnote>
  <w:footnote w:type="continuationSeparator" w:id="0">
    <w:p w14:paraId="2B4E2387" w14:textId="77777777" w:rsidR="00BE4C63" w:rsidRDefault="00BE4C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73105201">
    <w:abstractNumId w:val="8"/>
  </w:num>
  <w:num w:numId="2" w16cid:durableId="358046513">
    <w:abstractNumId w:val="6"/>
  </w:num>
  <w:num w:numId="3" w16cid:durableId="359356768">
    <w:abstractNumId w:val="5"/>
  </w:num>
  <w:num w:numId="4" w16cid:durableId="1471707185">
    <w:abstractNumId w:val="4"/>
  </w:num>
  <w:num w:numId="5" w16cid:durableId="33846512">
    <w:abstractNumId w:val="7"/>
  </w:num>
  <w:num w:numId="6" w16cid:durableId="191384937">
    <w:abstractNumId w:val="3"/>
  </w:num>
  <w:num w:numId="7" w16cid:durableId="400519323">
    <w:abstractNumId w:val="2"/>
  </w:num>
  <w:num w:numId="8" w16cid:durableId="15540940">
    <w:abstractNumId w:val="1"/>
  </w:num>
  <w:num w:numId="9" w16cid:durableId="193817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037"/>
    <w:rsid w:val="00034616"/>
    <w:rsid w:val="0006063C"/>
    <w:rsid w:val="0015074B"/>
    <w:rsid w:val="001556D9"/>
    <w:rsid w:val="0029639D"/>
    <w:rsid w:val="00326F90"/>
    <w:rsid w:val="00705477"/>
    <w:rsid w:val="00A76B8F"/>
    <w:rsid w:val="00AA1D8D"/>
    <w:rsid w:val="00B32E12"/>
    <w:rsid w:val="00B36A52"/>
    <w:rsid w:val="00B47730"/>
    <w:rsid w:val="00BE4C63"/>
    <w:rsid w:val="00CB0664"/>
    <w:rsid w:val="00DC0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BF4885"/>
  <w14:defaultImageDpi w14:val="300"/>
  <w15:docId w15:val="{B5A1094B-E0BA-4602-865D-24497F249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783</Words>
  <Characters>4468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福滨 王</cp:lastModifiedBy>
  <cp:revision>4</cp:revision>
  <dcterms:created xsi:type="dcterms:W3CDTF">2013-12-23T23:15:00Z</dcterms:created>
  <dcterms:modified xsi:type="dcterms:W3CDTF">2026-07-07T03:16:00Z</dcterms:modified>
  <cp:category/>
</cp:coreProperties>
</file>