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LangChain RAG 知识库</w:t>
      </w:r>
    </w:p>
    <w:p>
      <w:pPr>
        <w:jc w:val="center"/>
      </w:pPr>
      <w:r>
        <w:rPr>
          <w:i/>
        </w:rPr>
        <w:t>用于 embedding / retriever / RAG 端到端测试</w:t>
      </w:r>
    </w:p>
    <w:p>
      <w:r>
        <w:t>文档说明：每个知识条目都有唯一 Knowledge ID，可与测试 Excel 中的 Expected Knowledge ID 对应。</w:t>
      </w:r>
    </w:p>
    <w:p>
      <w:pPr>
        <w:pStyle w:val="Heading1"/>
      </w:pPr>
      <w:r>
        <w:t>K001  RAG 基本流程</w:t>
      </w:r>
    </w:p>
    <w:p>
      <w:r>
        <w:t>RAG（Retrieval-Augmented Generation）通常包含文档加载、文本切分、向量化、向量检索、上下文组装和大模型生成六个主要环节。</w:t>
      </w:r>
    </w:p>
    <w:p>
      <w:pPr>
        <w:pStyle w:val="Heading1"/>
      </w:pPr>
      <w:r>
        <w:t>K002  文本切分</w:t>
      </w:r>
    </w:p>
    <w:p>
      <w:r>
        <w:t>LangChain 中常用 RecursiveCharacterTextSplitter 进行递归文本切分，可通过 chunk_size 和 chunk_overlap 控制块大小与重叠长度。</w:t>
      </w:r>
    </w:p>
    <w:p>
      <w:pPr>
        <w:pStyle w:val="Heading1"/>
      </w:pPr>
      <w:r>
        <w:t>K003  Embedding</w:t>
      </w:r>
    </w:p>
    <w:p>
      <w:r>
        <w:t>Embedding 模型把文本映射为向量。查询文本与知识块使用同一嵌入空间后，可通过余弦相似度或其他距离度量进行语义检索。</w:t>
      </w:r>
    </w:p>
    <w:p>
      <w:pPr>
        <w:pStyle w:val="Heading1"/>
      </w:pPr>
      <w:r>
        <w:t>K004  向量库</w:t>
      </w:r>
    </w:p>
    <w:p>
      <w:r>
        <w:t>LangChain 可连接 FAISS、Chroma 等向量库。FAISS 适合本地快速原型，Chroma 提供较方便的持久化与元数据过滤能力。</w:t>
      </w:r>
    </w:p>
    <w:p>
      <w:pPr>
        <w:pStyle w:val="Heading1"/>
      </w:pPr>
      <w:r>
        <w:t>K005  Retriever</w:t>
      </w:r>
    </w:p>
    <w:p>
      <w:r>
        <w:t>VectorStore 可通过 as_retriever 转换为检索器。常见参数包括 search_type、k，以及用于阈值检索或 MMR 的相关配置。</w:t>
      </w:r>
    </w:p>
    <w:p>
      <w:pPr>
        <w:pStyle w:val="Heading1"/>
      </w:pPr>
      <w:r>
        <w:t>K006  MMR</w:t>
      </w:r>
    </w:p>
    <w:p>
      <w:r>
        <w:t>MMR（Maximal Marginal Relevance）在相关性和结果多样性之间做平衡，适合减少多个高度相似文本块同时被召回的情况。</w:t>
      </w:r>
    </w:p>
    <w:p>
      <w:pPr>
        <w:pStyle w:val="Heading1"/>
      </w:pPr>
      <w:r>
        <w:t>K007  Prompt</w:t>
      </w:r>
    </w:p>
    <w:p>
      <w:r>
        <w:t>RAG Prompt 应明确要求模型优先依据给定上下文回答；当上下文不足时应说明信息不足，避免把模型先验知识误当作检索结果。</w:t>
      </w:r>
    </w:p>
    <w:p>
      <w:pPr>
        <w:pStyle w:val="Heading1"/>
      </w:pPr>
      <w:r>
        <w:t>K008  评估指标</w:t>
      </w:r>
    </w:p>
    <w:p>
      <w:r>
        <w:t>RAG 评估可拆分为检索与生成两部分。检索常看 Recall@K、MRR、命中率；生成常看忠实度、答案相关性和上下文相关性。</w:t>
      </w:r>
    </w:p>
    <w:p>
      <w:pPr>
        <w:pStyle w:val="Heading1"/>
      </w:pPr>
      <w:r>
        <w:t>K009  元数据过滤</w:t>
      </w:r>
    </w:p>
    <w:p>
      <w:r>
        <w:t>为知识块保存 source、category、version 等元数据，可以在检索前缩小候选范围，并帮助定位答案来源。</w:t>
      </w:r>
    </w:p>
    <w:p>
      <w:pPr>
        <w:pStyle w:val="Heading1"/>
      </w:pPr>
      <w:r>
        <w:t>K010  常见故障</w:t>
      </w:r>
    </w:p>
    <w:p>
      <w:r>
        <w:t>RAG 常见问题包括切分过碎或过大、Embedding 模型不匹配、top-k 不合理、缺少重排序，以及 Prompt 未约束模型必须依赖上下文。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Knowledge ID</w:t>
            </w:r>
          </w:p>
        </w:tc>
        <w:tc>
          <w:tcPr>
            <w:tcW w:type="dxa" w:w="3312"/>
            <w:vAlign w:val="center"/>
          </w:tcPr>
          <w:p>
            <w:r>
              <w:t>Topic</w:t>
            </w:r>
          </w:p>
        </w:tc>
        <w:tc>
          <w:tcPr>
            <w:tcW w:type="dxa" w:w="3312"/>
            <w:vAlign w:val="center"/>
          </w:tcPr>
          <w:p>
            <w:r>
              <w:t>用途</w:t>
            </w:r>
          </w:p>
        </w:tc>
      </w:tr>
      <w:tr>
        <w:tc>
          <w:tcPr>
            <w:tcW w:type="dxa" w:w="3312"/>
          </w:tcPr>
          <w:p>
            <w:r>
              <w:t>K001</w:t>
            </w:r>
          </w:p>
        </w:tc>
        <w:tc>
          <w:tcPr>
            <w:tcW w:type="dxa" w:w="3312"/>
          </w:tcPr>
          <w:p>
            <w:r>
              <w:t>RAG 基本流程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K002</w:t>
            </w:r>
          </w:p>
        </w:tc>
        <w:tc>
          <w:tcPr>
            <w:tcW w:type="dxa" w:w="3312"/>
          </w:tcPr>
          <w:p>
            <w:r>
              <w:t>文本切分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K003</w:t>
            </w:r>
          </w:p>
        </w:tc>
        <w:tc>
          <w:tcPr>
            <w:tcW w:type="dxa" w:w="3312"/>
          </w:tcPr>
          <w:p>
            <w:r>
              <w:t>Embedding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K004</w:t>
            </w:r>
          </w:p>
        </w:tc>
        <w:tc>
          <w:tcPr>
            <w:tcW w:type="dxa" w:w="3312"/>
          </w:tcPr>
          <w:p>
            <w:r>
              <w:t>向量库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K005</w:t>
            </w:r>
          </w:p>
        </w:tc>
        <w:tc>
          <w:tcPr>
            <w:tcW w:type="dxa" w:w="3312"/>
          </w:tcPr>
          <w:p>
            <w:r>
              <w:t>Retriever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K006</w:t>
            </w:r>
          </w:p>
        </w:tc>
        <w:tc>
          <w:tcPr>
            <w:tcW w:type="dxa" w:w="3312"/>
          </w:tcPr>
          <w:p>
            <w:r>
              <w:t>MMR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K007</w:t>
            </w:r>
          </w:p>
        </w:tc>
        <w:tc>
          <w:tcPr>
            <w:tcW w:type="dxa" w:w="3312"/>
          </w:tcPr>
          <w:p>
            <w:r>
              <w:t>Prompt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K008</w:t>
            </w:r>
          </w:p>
        </w:tc>
        <w:tc>
          <w:tcPr>
            <w:tcW w:type="dxa" w:w="3312"/>
          </w:tcPr>
          <w:p>
            <w:r>
              <w:t>评估指标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K009</w:t>
            </w:r>
          </w:p>
        </w:tc>
        <w:tc>
          <w:tcPr>
            <w:tcW w:type="dxa" w:w="3312"/>
          </w:tcPr>
          <w:p>
            <w:r>
              <w:t>元数据过滤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  <w:tr>
        <w:tc>
          <w:tcPr>
            <w:tcW w:type="dxa" w:w="3312"/>
          </w:tcPr>
          <w:p>
            <w:r>
              <w:t>K010</w:t>
            </w:r>
          </w:p>
        </w:tc>
        <w:tc>
          <w:tcPr>
            <w:tcW w:type="dxa" w:w="3312"/>
          </w:tcPr>
          <w:p>
            <w:r>
              <w:t>常见故障</w:t>
            </w:r>
          </w:p>
        </w:tc>
        <w:tc>
          <w:tcPr>
            <w:tcW w:type="dxa" w:w="3312"/>
          </w:tcPr>
          <w:p>
            <w:r>
              <w:t>RAG 检索测试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