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政企部督办工作分析报告</w:t>
      </w:r>
    </w:p>
    <w:p>
      <w:r>
        <w:t>生成时间：2026-10-17T15:27:04+08:00</w:t>
      </w:r>
    </w:p>
    <w:p>
      <w:r>
        <w:t>研判来源提示：包含模拟或未经真实宿主调用核验的结构化研判结果，不代表已验证真实大模型分析。</w:t>
      </w:r>
    </w:p>
    <w:p>
      <w:pPr>
        <w:pStyle w:val="Heading1"/>
      </w:pPr>
      <w:r>
        <w:t>一、总体督办情况</w:t>
      </w:r>
    </w:p>
    <w:p>
      <w:r>
        <w:t>当前共有任务1项，已完成0项，在办1项，已取消0项。完成率0.00%，按期完成率无可计算数据。当前逾期0项，高风险1项，受阻1项。</w:t>
      </w:r>
    </w:p>
    <w:p>
      <w:r>
        <w:drawing>
          <wp:inline xmlns:a="http://schemas.openxmlformats.org/drawingml/2006/main" xmlns:pic="http://schemas.openxmlformats.org/drawingml/2006/picture">
            <wp:extent cx="5669280" cy="1906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政企部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二、主要工作进展</w:t>
      </w:r>
    </w:p>
    <w:p>
      <w:r>
        <w:t>【受阻】测试原生政企部交付（责任人：待配置；原截止日期：2026-10-20）：资源不足。</w:t>
      </w:r>
    </w:p>
    <w:p>
      <w:pPr>
        <w:pStyle w:val="Heading1"/>
      </w:pPr>
      <w:r>
        <w:t>三、重点风险及拖延原因研判</w:t>
      </w:r>
    </w:p>
    <w:p>
      <w:pPr>
        <w:pStyle w:val="Heading2"/>
      </w:pPr>
      <w:r>
        <w:t>测试原生政企部交付</w:t>
      </w:r>
    </w:p>
    <w:p>
      <w:r>
        <w:t>最新进展：资源不足；已报告问题：未反馈</w:t>
      </w:r>
    </w:p>
    <w:p>
      <w:r>
        <w:t>记录事实：资源不足</w:t>
      </w:r>
    </w:p>
    <w:p>
      <w:r>
        <w:t>待核实可能原因：脚本化模拟：资源依赖待核实</w:t>
      </w:r>
    </w:p>
    <w:p>
      <w:r>
        <w:t>可核对依据：资源不足</w:t>
      </w:r>
    </w:p>
    <w:p>
      <w:r>
        <w:t>具体措施：脚本化模拟建议：确认交付安排</w:t>
      </w:r>
    </w:p>
    <w:p>
      <w:r>
        <w:t>需协调事项：网络部</w:t>
      </w:r>
    </w:p>
    <w:p>
      <w:r>
        <w:t>下一阶段跟踪：脚本化模拟：下次反馈</w:t>
      </w:r>
    </w:p>
    <w:p>
      <w:pPr>
        <w:pStyle w:val="Heading1"/>
      </w:pPr>
      <w:r>
        <w:t>四、协调问题、整改措施及下阶段重点</w:t>
      </w:r>
    </w:p>
    <w:p>
      <w:r>
        <w:t>测试原生政企部交付：协调事项：网络部；整改建议：脚本化模拟建议：确认交付安排；下阶段重点：脚本化模拟：下次反馈。</w:t>
      </w:r>
    </w:p>
    <w:p>
      <w:pPr>
        <w:pStyle w:val="Heading1"/>
      </w:pPr>
      <w:r>
        <w:t>五、MobileWork智能复盘</w:t>
      </w:r>
    </w:p>
    <w:p>
      <w:r>
        <w:t>以下为模拟或未经宿主实际调用核验的复盘内容，不能作为真实模型验收证据。</w:t>
      </w:r>
    </w:p>
    <w:p>
      <w:pPr>
        <w:pStyle w:val="Heading2"/>
      </w:pPr>
      <w:r>
        <w:t>主要进展</w:t>
      </w:r>
    </w:p>
    <w:p>
      <w:r>
        <w:t>脚本化模拟复盘：测试原生政企部交付；资源不足</w:t>
      </w:r>
    </w:p>
    <w:p>
      <w:r>
        <w:t>依据：资源不足</w:t>
      </w:r>
    </w:p>
    <w:p>
      <w:pPr>
        <w:pStyle w:val="Heading1"/>
      </w:pPr>
      <w:r>
        <w:t>六、协办及统计明细</w:t>
      </w:r>
    </w:p>
    <w:p>
      <w:r>
        <w:t>统计口径：任务只计入主责部门；完成率分母排除已取消；按期完成率分母为已完成。详细任务、责任人统计和拖延原因分类见配套Excel。AI可能原因尚待核实。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