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政企部督办工作分析报告</w:t>
      </w:r>
    </w:p>
    <w:p>
      <w:r>
        <w:t>生成时间：2026-10-17T15:08:08+08:00</w:t>
      </w:r>
    </w:p>
    <w:p>
      <w:pPr>
        <w:pStyle w:val="Heading1"/>
      </w:pPr>
      <w:r>
        <w:t>一、总体督办情况</w:t>
      </w:r>
    </w:p>
    <w:p>
      <w:r>
        <w:t>当前共有任务2项，已完成0项，在办2项，已取消0项。完成率0.00%，按期完成率无可计算数据。当前逾期1项，高风险0项，受阻1项。</w:t>
      </w:r>
    </w:p>
    <w:p>
      <w:r>
        <w:drawing>
          <wp:inline xmlns:a="http://schemas.openxmlformats.org/drawingml/2006/main" xmlns:pic="http://schemas.openxmlformats.org/drawingml/2006/picture">
            <wp:extent cx="5669280" cy="1906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政企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二、主要工作进展</w:t>
      </w:r>
    </w:p>
    <w:p>
      <w:r>
        <w:t>【未开始】测试客户走访（责任人：待配置；原截止日期：2026-10-19）：尚无进展反馈。</w:t>
      </w:r>
    </w:p>
    <w:p>
      <w:r>
        <w:t>【受阻】测试企业专线交付（责任人：待配置；原截止日期：2026-10-16）：两处资源不足。</w:t>
      </w:r>
    </w:p>
    <w:p>
      <w:pPr>
        <w:pStyle w:val="Heading1"/>
      </w:pPr>
      <w:r>
        <w:t>三、重点风险及拖延原因研判</w:t>
      </w:r>
    </w:p>
    <w:p>
      <w:pPr>
        <w:pStyle w:val="Heading2"/>
      </w:pPr>
      <w:r>
        <w:t>测试企业专线交付</w:t>
      </w:r>
    </w:p>
    <w:p>
      <w:r>
        <w:t>最新进展：两处资源不足；已报告问题：未反馈</w:t>
      </w:r>
    </w:p>
    <w:p>
      <w:r>
        <w:t>尚未取得宿主AI的有效研判结果，请先执行风险扫描。</w:t>
      </w:r>
    </w:p>
    <w:p>
      <w:pPr>
        <w:pStyle w:val="Heading1"/>
      </w:pPr>
      <w:r>
        <w:t>四、协调问题、整改措施及下阶段重点</w:t>
      </w:r>
    </w:p>
    <w:p>
      <w:r>
        <w:t>测试客户走访：协调事项：尚未有效研判；整改建议：尚未有效研判；下阶段重点：核实最新进展与实际阻塞事项。</w:t>
      </w:r>
    </w:p>
    <w:p>
      <w:r>
        <w:t>测试企业专线交付：协调事项：尚未有效研判；整改建议：尚未有效研判；下阶段重点：核实最新进展与实际阻塞事项。</w:t>
      </w:r>
    </w:p>
    <w:p>
      <w:pPr>
        <w:pStyle w:val="Heading1"/>
      </w:pPr>
      <w:r>
        <w:t>五、协办及统计明细</w:t>
      </w:r>
    </w:p>
    <w:p>
      <w:r>
        <w:t>统计口径：任务只计入主责部门；完成率分母排除已取消；按期完成率分母为已完成。详细任务、责任人统计和拖延原因分类见配套Excel。AI可能原因尚待核实。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