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编程的下一层机会：交付治理</w:t>
      </w:r>
    </w:p>
    <w:p>
      <w:pPr>
        <w:pStyle w:val="Subtitle"/>
        <w:jc w:val="center"/>
      </w:pPr>
      <w:r>
        <w:t>给投资人看的 Enterprise AI Development OS 价值说明</w:t>
      </w:r>
    </w:p>
    <w:p>
      <w:pPr>
        <w:jc w:val="center"/>
      </w:pPr>
      <w:r>
        <w:rPr>
          <w:color w:val="4B5563"/>
          <w:sz w:val="18"/>
        </w:rPr>
        <w:t>适读对象：投资人、创业者、技术合伙人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or_va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F"/>
          </w:tcPr>
          <w:p>
            <w:r>
              <w:rPr>
                <w:b/>
                <w:color w:val="1F2937"/>
              </w:rPr>
              <w:t>模型能力越强，企业越需要一层可迁移的治理系统，把生成能力变成可复用的交付能力。</w:t>
            </w:r>
          </w:p>
        </w:tc>
      </w:tr>
    </w:tbl>
    <w:p>
      <w:pPr>
        <w:pStyle w:val="Heading1"/>
      </w:pPr>
      <w:r>
        <w:t>为什么不是又一个 AI 编程工具</w:t>
      </w:r>
    </w:p>
    <w:p>
      <w:pPr>
        <w:spacing w:line="300" w:lineRule="auto" w:after="120"/>
      </w:pPr>
      <w:r>
        <w:t>市场上已经有很多强大的 AI 编程入口。Enterprise AI Development OS 选择站在这些工具之上，解决另一个问题：当企业同时使用多个 AI 工具时，如何让它们遵守同一套项目纪律。</w:t>
      </w:r>
    </w:p>
    <w:p>
      <w:pPr>
        <w:spacing w:line="300" w:lineRule="auto" w:after="120"/>
      </w:pPr>
      <w:r>
        <w:t>它的公开版聚焦规则、Skills、文档记忆、审计门禁、安装脚本和多工具适配器。可执行规则运行时、规则命中分析、MCP 审计和团队治理面板被明确放在未来方向里，不作为当前已实现能力宣传。</w:t>
      </w:r>
    </w:p>
    <w:p>
      <w:pPr>
        <w:spacing w:line="300" w:lineRule="auto" w:after="120"/>
      </w:pPr>
      <w:r>
        <w:t>这个边界很重要：它让项目先从可迁移的方法论和轻量工具切入，而不是一开始就承诺庞大的平台化能力。</w:t>
      </w:r>
    </w:p>
    <w:p>
      <w:pPr>
        <w:pStyle w:val="Heading1"/>
      </w:pPr>
      <w:r>
        <w:t>投资价值来自可复制的操作模型</w:t>
      </w:r>
    </w:p>
    <w:p>
      <w:pPr>
        <w:spacing w:line="300" w:lineRule="auto" w:after="120"/>
      </w:pPr>
      <w:r>
        <w:t>很多 AI 研发提效停留在个人经验：某个工程师会写提示词，某个团队会调工具，某次项目里效果不错。但这类经验很难规模化。</w:t>
      </w:r>
    </w:p>
    <w:p>
      <w:pPr>
        <w:spacing w:line="300" w:lineRule="auto" w:after="120"/>
      </w:pPr>
      <w:r>
        <w:t>本项目把经验拆成可复制资产：规则入口、能力单元、公开边界、审计脚本、任务模板、ADR 和价值证据模板。它让团队可以在不同项目、不同工具、不同成员之间复用同一套工作方式。</w:t>
      </w:r>
    </w:p>
    <w:p>
      <w:pPr>
        <w:spacing w:line="300" w:lineRule="auto" w:after="120"/>
      </w:pPr>
      <w:r>
        <w:t>从投资视角看，这不是单点功能，而是围绕 AI 辅助开发形成的治理层。它可以服务开源社区，也可以延展到实施服务、治理支持、工具插件和团队策略包。</w:t>
      </w:r>
    </w:p>
    <w:p>
      <w:pPr>
        <w:pStyle w:val="Heading1"/>
      </w:pPr>
      <w:r>
        <w:t>商业收益应如何验证</w:t>
      </w:r>
    </w:p>
    <w:p>
      <w:pPr>
        <w:pStyle w:val="ListBullet"/>
        <w:spacing w:line="283" w:lineRule="auto" w:after="80"/>
      </w:pPr>
      <w:r>
        <w:t>效率：看重复解释是否减少、任务进入上下文是否更快、返工轮次是否下降。</w:t>
      </w:r>
    </w:p>
    <w:p>
      <w:pPr>
        <w:pStyle w:val="ListBullet"/>
        <w:spacing w:line="283" w:lineRule="auto" w:after="80"/>
      </w:pPr>
      <w:r>
        <w:t>风险：看验证门禁是否提前发现边界、结构、适配和发布问题。</w:t>
      </w:r>
    </w:p>
    <w:p>
      <w:pPr>
        <w:pStyle w:val="ListBullet"/>
        <w:spacing w:line="283" w:lineRule="auto" w:after="80"/>
      </w:pPr>
      <w:r>
        <w:t>知识：看一次经验能否进入规则、模板或 Skill，而不是留在聊天记录里。</w:t>
      </w:r>
    </w:p>
    <w:p>
      <w:pPr>
        <w:pStyle w:val="ListBullet"/>
        <w:spacing w:line="283" w:lineRule="auto" w:after="80"/>
      </w:pPr>
      <w:r>
        <w:t>成本：评估不只看首轮 token，也要把 bug 修复、返工和人工对齐成本算进去。</w:t>
      </w:r>
    </w:p>
    <w:p>
      <w:pPr>
        <w:pStyle w:val="Heading1"/>
      </w:pPr>
      <w:r>
        <w:t>当前应避免的过度承诺</w:t>
      </w:r>
    </w:p>
    <w:p>
      <w:pPr>
        <w:spacing w:line="300" w:lineRule="auto" w:after="120"/>
      </w:pPr>
      <w:r>
        <w:t>公开材料不应宣称固定节省比例、固定缺陷降低比例，也不应暗示已经拥有完整运行时平台或团队治理面板。</w:t>
      </w:r>
    </w:p>
    <w:p>
      <w:pPr>
        <w:spacing w:line="300" w:lineRule="auto" w:after="120"/>
      </w:pPr>
      <w:r>
        <w:t>更稳妥的表达是：项目已经提供可迁移的规则、Skills、审计门禁、文档记忆和适配器框架，并定义了如何用可复现实验去证明价值。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8FB"/>
          </w:tcPr>
          <w:p>
            <w:pPr>
              <w:jc w:val="center"/>
            </w:pPr>
            <w:r>
              <w:rPr>
                <w:b/>
                <w:color w:val="111827"/>
                <w:sz w:val="26"/>
              </w:rPr>
              <w:t>“模型生成代码，治理系统沉淀交付能力。”</w:t>
            </w:r>
          </w:p>
        </w:tc>
      </w:tr>
    </w:tbl>
    <w:p>
      <w:pPr>
        <w:pStyle w:val="Heading1"/>
      </w:pPr>
      <w:r>
        <w:t>建议行动</w:t>
      </w:r>
    </w:p>
    <w:p>
      <w:pPr>
        <w:spacing w:line="300" w:lineRule="auto"/>
      </w:pPr>
      <w:r>
        <w:t>下一步最有价值的工作，是用脱敏小任务建立 before/after 证据，而不是先写宏大的市场百分比。</w:t>
      </w:r>
    </w:p>
    <w:p>
      <w:pPr>
        <w:pStyle w:val="Heading1"/>
      </w:pPr>
      <w:r>
        <w:t>公开口径边界</w:t>
      </w:r>
    </w:p>
    <w:p>
      <w:pPr>
        <w:pStyle w:val="ListBullet"/>
      </w:pPr>
      <w:r>
        <w:t>本文仅使用公开仓库中的规则、Skills、审计门禁、文档记忆和价值说明材料。</w:t>
      </w:r>
    </w:p>
    <w:p>
      <w:pPr>
        <w:pStyle w:val="ListBullet"/>
      </w:pPr>
      <w:r>
        <w:t>不包含私有策略、未脱敏案例、真实客户数据、本地路径或过程日志。</w:t>
      </w:r>
    </w:p>
    <w:p>
      <w:pPr>
        <w:pStyle w:val="ListBullet"/>
      </w:pPr>
      <w:r>
        <w:t>不宣称固定节省比例、固定缺陷降低比例或必然交付成功。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Enterprise AI Development OS | Public promotional article | No private case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