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给 AI 编程工具装上一套项目纪律</w:t>
      </w:r>
    </w:p>
    <w:p>
      <w:pPr>
        <w:pStyle w:val="Subtitle"/>
        <w:jc w:val="center"/>
      </w:pPr>
      <w:r>
        <w:t>面向开源社区和技术决策者的介绍</w:t>
      </w:r>
    </w:p>
    <w:p>
      <w:pPr>
        <w:jc w:val="center"/>
      </w:pPr>
      <w:r>
        <w:rPr>
          <w:color w:val="4B5563"/>
          <w:sz w:val="18"/>
        </w:rPr>
        <w:t>适读对象：开源贡献者、架构师、AI 工具使用者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open_source_commun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4FF"/>
          </w:tcPr>
          <w:p>
            <w:r>
              <w:rPr>
                <w:b/>
                <w:color w:val="1F2937"/>
              </w:rPr>
              <w:t>一个项目可以同时支持 Codex、Claude Code、Trae、Qoder、Cursor、GitHub Copilot 和 VS Code，但前提是它们读到同一套规则。</w:t>
            </w:r>
          </w:p>
        </w:tc>
      </w:tr>
    </w:tbl>
    <w:p>
      <w:pPr>
        <w:pStyle w:val="Heading1"/>
      </w:pPr>
      <w:r>
        <w:t>为什么需要工具无关的规则层</w:t>
      </w:r>
    </w:p>
    <w:p>
      <w:pPr>
        <w:spacing w:line="300" w:lineRule="auto" w:after="120"/>
      </w:pPr>
      <w:r>
        <w:t>AI 编程工具变化很快，团队不可能把项目规范绑定在某一个工具里。今天用这个插件，明天换另一个 IDE，项目纪律不能跟着丢。</w:t>
      </w:r>
    </w:p>
    <w:p>
      <w:pPr>
        <w:spacing w:line="300" w:lineRule="auto" w:after="120"/>
      </w:pPr>
      <w:r>
        <w:t>Enterprise AI Development OS 把规则、Skills、文档模板、审计脚本和适配器生成器放在仓库里，让不同工具从同一个源头获得约束。</w:t>
      </w:r>
    </w:p>
    <w:p>
      <w:pPr>
        <w:spacing w:line="300" w:lineRule="auto" w:after="120"/>
      </w:pPr>
      <w:r>
        <w:t>这使得 AI 辅助开发从个人习惯变成项目资产：新人进入仓库、换工具、做交接时，都能从同一套入口开始。</w:t>
      </w:r>
    </w:p>
    <w:p>
      <w:pPr>
        <w:pStyle w:val="Heading1"/>
      </w:pPr>
      <w:r>
        <w:t>公开版包含什么</w:t>
      </w:r>
    </w:p>
    <w:p>
      <w:pPr>
        <w:pStyle w:val="ListBullet"/>
        <w:spacing w:line="283" w:lineRule="auto" w:after="80"/>
      </w:pPr>
      <w:r>
        <w:t>规则入口：会话启动、开发顺序、目录边界、验证门禁。</w:t>
      </w:r>
    </w:p>
    <w:p>
      <w:pPr>
        <w:pStyle w:val="ListBullet"/>
        <w:spacing w:line="283" w:lineRule="auto" w:after="80"/>
      </w:pPr>
      <w:r>
        <w:t>Skills：规划、架构、治理、前端、后端、数据、测试和部署能力单元。</w:t>
      </w:r>
    </w:p>
    <w:p>
      <w:pPr>
        <w:pStyle w:val="ListBullet"/>
        <w:spacing w:line="283" w:lineRule="auto" w:after="80"/>
      </w:pPr>
      <w:r>
        <w:t>文档记忆：Backlog、总控索引、模板、ADR 和回写结构。</w:t>
      </w:r>
    </w:p>
    <w:p>
      <w:pPr>
        <w:pStyle w:val="ListBullet"/>
        <w:spacing w:line="283" w:lineRule="auto" w:after="80"/>
      </w:pPr>
      <w:r>
        <w:t>审计门禁：方法论结构检查、开源边界检查、就绪度评分。</w:t>
      </w:r>
    </w:p>
    <w:p>
      <w:pPr>
        <w:pStyle w:val="ListBullet"/>
        <w:spacing w:line="283" w:lineRule="auto" w:after="80"/>
      </w:pPr>
      <w:r>
        <w:t>工具适配：把同一套规则投放到多种 AI 编程工具。</w:t>
      </w:r>
    </w:p>
    <w:p>
      <w:pPr>
        <w:pStyle w:val="Heading1"/>
      </w:pPr>
      <w:r>
        <w:t>它不是什么</w:t>
      </w:r>
    </w:p>
    <w:p>
      <w:pPr>
        <w:spacing w:line="300" w:lineRule="auto" w:after="120"/>
      </w:pPr>
      <w:r>
        <w:t>它不是通用 AI 应用平台，也不是完整的模型生命周期管理系统。它不承诺消除所有幻觉，也不声称当前已经实现完整的规则运行时。</w:t>
      </w:r>
    </w:p>
    <w:p>
      <w:pPr>
        <w:spacing w:line="300" w:lineRule="auto" w:after="120"/>
      </w:pPr>
      <w:r>
        <w:t>它更像一层可迁移的工程治理骨架：先把项目规则、能力单元和验证方式组织好，再用审计与证据逐步增强。</w:t>
      </w:r>
    </w:p>
    <w:p>
      <w:pPr>
        <w:pStyle w:val="Heading1"/>
      </w:pPr>
      <w:r>
        <w:t>如何参与或试用</w:t>
      </w:r>
    </w:p>
    <w:p>
      <w:pPr>
        <w:spacing w:line="300" w:lineRule="auto" w:after="120"/>
      </w:pPr>
      <w:r>
        <w:t>可以先用 lite 模式安装到一个现有项目，只加入 AI 入口规则、文档模板和任务清单骨架。完整模式会复制官方 Skills、适配器工具和审计脚本。</w:t>
      </w:r>
    </w:p>
    <w:p>
      <w:pPr>
        <w:spacing w:line="300" w:lineRule="auto" w:after="120"/>
      </w:pPr>
      <w:r>
        <w:t>贡献方向可以从规则改进、Skill 补充、适配器验证、公开案例脱敏和价值证据模板开始。所有公开贡献都应通过方法论审计、开源边界检查和适配器 dry-run。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8FB"/>
          </w:tcPr>
          <w:p>
            <w:pPr>
              <w:jc w:val="center"/>
            </w:pPr>
            <w:r>
              <w:rPr>
                <w:b/>
                <w:color w:val="111827"/>
                <w:sz w:val="26"/>
              </w:rPr>
              <w:t>“工具会变，项目纪律应该留在仓库里。”</w:t>
            </w:r>
          </w:p>
        </w:tc>
      </w:tr>
    </w:tbl>
    <w:p>
      <w:pPr>
        <w:pStyle w:val="Heading1"/>
      </w:pPr>
      <w:r>
        <w:t>建议行动</w:t>
      </w:r>
    </w:p>
    <w:p>
      <w:pPr>
        <w:spacing w:line="300" w:lineRule="auto"/>
      </w:pPr>
      <w:r>
        <w:t>从 lite 模式开始，把一个项目的 AI 协作入口先统一起来。</w:t>
      </w:r>
    </w:p>
    <w:p>
      <w:pPr>
        <w:pStyle w:val="Heading1"/>
      </w:pPr>
      <w:r>
        <w:t>公开口径边界</w:t>
      </w:r>
    </w:p>
    <w:p>
      <w:pPr>
        <w:pStyle w:val="ListBullet"/>
      </w:pPr>
      <w:r>
        <w:t>本文仅使用公开仓库中的规则、Skills、审计门禁、文档记忆和价值说明材料。</w:t>
      </w:r>
    </w:p>
    <w:p>
      <w:pPr>
        <w:pStyle w:val="ListBullet"/>
      </w:pPr>
      <w:r>
        <w:t>不包含私有策略、未脱敏案例、真实客户数据、本地路径或过程日志。</w:t>
      </w:r>
    </w:p>
    <w:p>
      <w:pPr>
        <w:pStyle w:val="ListBullet"/>
      </w:pPr>
      <w:r>
        <w:t>不宣称固定节省比例、固定缺陷降低比例或必然交付成功。</w:t>
      </w:r>
    </w:p>
    <w:sectPr w:rsidR="00FC693F" w:rsidRPr="0006063C" w:rsidSect="00034616">
      <w:footerReference w:type="default" r:id="rId9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B7280"/>
        <w:sz w:val="16"/>
      </w:rPr>
      <w:t>Enterprise AI Development OS | Public promotional article | No private case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B556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