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20318d6457473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00" w:after="200"/>
        <w:jc w:val="center"/>
      </w:pPr>
      <w:r>
        <w:rPr>
          <w:rFonts w:eastAsia="SimHei"/>
          <w:b/>
          <w:color w:val="2C5282"/>
          <w:sz w:val="44"/>
        </w:rPr>
        <w:t>算例处理规范与模块接口协议</w:t>
      </w:r>
    </w:p>
    <w:p>
      <w:pPr>
        <w:spacing w:after="600"/>
        <w:jc w:val="center"/>
      </w:pPr>
      <w:r>
        <w:rPr>
          <w:color w:val="4A5568"/>
          <w:sz w:val="24"/>
        </w:rPr>
        <w:t>适配“大型山地光伏电站设计中的建模与算法研究”全模块</w:t>
      </w:r>
    </w:p>
    <w:p>
      <w:pPr>
        <w:pStyle w:val="Heading1"/>
      </w:pPr>
      <w:r>
        <w:t>第一部分 算例处理规范</w:t>
      </w:r>
    </w:p>
    <w:p>
      <w:pPr>
        <w:pStyle w:val="Heading2"/>
      </w:pPr>
      <w:r>
        <w:t>一、文档目的</w:t>
      </w:r>
    </w:p>
    <w:p>
      <w:pPr>
        <w:spacing w:after="120"/>
        <w:ind w:left="420" w:hanging="420"/>
      </w:pPr>
      <w:r>
        <w:rPr>
          <w:b/>
        </w:rPr>
        <w:t xml:space="preserve">(1) </w:t>
      </w:r>
      <w:r>
        <w:t>统一算例的预处理、存储、调用标准，避免各模块单独处理数据导致格式冲突、字段缺失；</w:t>
      </w:r>
    </w:p>
    <w:p>
      <w:pPr>
        <w:spacing w:after="120"/>
        <w:ind w:left="420" w:hanging="420"/>
      </w:pPr>
      <w:r>
        <w:rPr>
          <w:b/>
        </w:rPr>
        <w:t xml:space="preserve">(2) </w:t>
      </w:r>
      <w:r>
        <w:t>明确算例验证指标，确保不同模块的测试结果可对比、可追溯；</w:t>
      </w:r>
    </w:p>
    <w:p>
      <w:pPr>
        <w:spacing w:after="120"/>
        <w:ind w:left="420" w:hanging="420"/>
      </w:pPr>
      <w:r>
        <w:rPr>
          <w:b/>
        </w:rPr>
        <w:t xml:space="preserve">(3) </w:t>
      </w:r>
      <w:r>
        <w:t>衔接“公开简化算例库”与“实际算例库”，为分模块开发、集成验证提供标准化输入。</w:t>
      </w:r>
    </w:p>
    <w:p>
      <w:pPr>
        <w:pStyle w:val="Heading2"/>
      </w:pPr>
      <w:r>
        <w:t>二、算例分类及来源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3000"/>
        <w:gridCol w:w="2000"/>
        <w:gridCol w:w="2000"/>
      </w:tblGrid>
      <w:tr>
        <w:trPr>
          <w:tblHeader/>
          <w:trHeight w:val="400" w:hRule="atLeast"/>
        </w:trPr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算例类型</w:t>
            </w:r>
          </w:p>
        </w:tc>
        <w:tc>
          <w:tcPr>
            <w:tcW w:w="3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来源</w:t>
            </w:r>
          </w:p>
        </w:tc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适用场景</w:t>
            </w:r>
          </w:p>
        </w:tc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核心特征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公开简化算例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Luo开源项目（17个标准算例）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模块一/二的基础功能测试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地形简单、约束清晰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实际算例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甘肃东亚200MW项目脱敏数据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模块三集成优化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地形复杂、含实际工程约束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自定义测试算例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人工构造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模块边界条件测试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针对性强、约束单一明确</w:t>
            </w:r>
          </w:p>
        </w:tc>
      </w:tr>
    </w:tbl>
    <w:p>
      <w:pPr>
        <w:pStyle w:val="Heading2"/>
      </w:pPr>
      <w:r>
        <w:t>三、算例预处理流程（统一执行，输出标准化JSON）</w:t>
      </w:r>
    </w:p>
    <w:p>
      <w:pPr>
        <w:pStyle w:val="Heading3"/>
      </w:pPr>
      <w:r>
        <w:t>3.1 数据清洗</w:t>
      </w:r>
    </w:p>
    <w:p>
      <w:pPr>
        <w:numPr>
          <w:ilvl w:val="0"/>
          <w:numId w:val="2"/>
        </w:numPr>
        <w:spacing w:after="80"/>
      </w:pPr>
      <w:r>
        <w:t>剔除无效数据：删除坐标异常（如超出场址范围）、参数缺失（如无坡度数据）的记录；</w:t>
      </w:r>
    </w:p>
    <w:p>
      <w:pPr>
        <w:numPr>
          <w:ilvl w:val="0"/>
          <w:numId w:val="2"/>
        </w:numPr>
        <w:spacing w:after="80"/>
      </w:pPr>
      <w:r>
        <w:t>单位统一：所有长度单位换算为“米（m）”、功率单位换算为“千瓦（kW）”、面积单位换算为“平方米（m²）”；</w:t>
      </w:r>
    </w:p>
    <w:p>
      <w:pPr>
        <w:numPr>
          <w:ilvl w:val="0"/>
          <w:numId w:val="2"/>
        </w:numPr>
        <w:spacing w:after="80"/>
      </w:pPr>
      <w:r>
        <w:t>格式规范：日期、布尔值统一为JSON标准格式（日期用字符串“2025-01-01”，布尔值用true/false）。</w:t>
      </w:r>
    </w:p>
    <w:p>
      <w:pPr>
        <w:pStyle w:val="Heading3"/>
      </w:pPr>
      <w:r>
        <w:t>3.2 标准化补充（按《最终版数据字典》补全字段）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3200"/>
        <w:gridCol w:w="3600"/>
      </w:tblGrid>
      <w:tr>
        <w:trPr>
          <w:tblHeader/>
          <w:trHeight w:val="400" w:hRule="atLeast"/>
        </w:trPr>
        <w:tc>
          <w:tcPr>
            <w:tcW w:w="2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必补字段类别</w:t>
            </w:r>
          </w:p>
        </w:tc>
        <w:tc>
          <w:tcPr>
            <w:tcW w:w="3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具体字段示例</w:t>
            </w:r>
          </w:p>
        </w:tc>
        <w:tc>
          <w:tcPr>
            <w:tcW w:w="36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补充规则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地形基础字段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grid_size、slope_matrix、buildable_matrix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网格尺寸默认10m×10m，坡度矩阵缺失值按0填充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设备参数字段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q、Q_box、c3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按数据字典默认值填充（q=320kW、c3=200元/m）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约束标注字段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cut_constraint、trench_max_cables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统一标注为数组[“整数切割”, “分区连通性”]</w:t>
            </w:r>
          </w:p>
        </w:tc>
      </w:tr>
    </w:tbl>
    <w:p>
      <w:pPr>
        <w:pStyle w:val="Heading3"/>
      </w:pPr>
      <w:r>
        <w:t>3.3 约束显性化标注</w:t>
      </w:r>
    </w:p>
    <w:p>
      <w:pPr>
        <w:numPr>
          <w:ilvl w:val="0"/>
          <w:numId w:val="2"/>
        </w:numPr>
        <w:spacing w:after="80"/>
      </w:pPr>
      <w:r>
        <w:t>为每个算例添加constraint_info字段，明确约束类型、取值范围、优先级（高/中/低）；</w:t>
      </w:r>
    </w:p>
    <w:p>
      <w:pPr>
        <w:numPr>
          <w:ilvl w:val="0"/>
          <w:numId w:val="2"/>
        </w:numPr>
        <w:spacing w:after="80"/>
      </w:pPr>
      <w:r>
        <w:t>示例：“constraint_info”: [{“type”: “切割约束”, “value”: “2×整数列”, “priority”: “高”}, ...]</w:t>
      </w:r>
    </w:p>
    <w:p>
      <w:pPr>
        <w:pStyle w:val="Heading3"/>
      </w:pPr>
      <w:r>
        <w:t>3.4 脱敏处理（仅针对实际算例）</w:t>
      </w:r>
    </w:p>
    <w:p>
      <w:pPr>
        <w:numPr>
          <w:ilvl w:val="0"/>
          <w:numId w:val="2"/>
        </w:numPr>
        <w:spacing w:after="80"/>
      </w:pPr>
      <w:r>
        <w:t>坐标脱敏：将真实经纬度转化为相对坐标（以场址左下角为原点(0,0)），保留相对位置关系；</w:t>
      </w:r>
    </w:p>
    <w:p>
      <w:pPr>
        <w:numPr>
          <w:ilvl w:val="0"/>
          <w:numId w:val="2"/>
        </w:numPr>
        <w:spacing w:after="80"/>
      </w:pPr>
      <w:r>
        <w:t>敏感信息隐藏：删除项目名称、具体地址、涉密设备参数，仅保留通用技术参数；</w:t>
      </w:r>
    </w:p>
    <w:p>
      <w:pPr>
        <w:numPr>
          <w:ilvl w:val="0"/>
          <w:numId w:val="2"/>
        </w:numPr>
        <w:spacing w:after="80"/>
      </w:pPr>
      <w:r>
        <w:t>数据缩放：地形高程按比例缩放（缩放系数记录在desensitization_info字段），不影响坡度、相对高差计算。</w:t>
      </w:r>
    </w:p>
    <w:p>
      <w:pPr>
        <w:pStyle w:val="Heading3"/>
      </w:pPr>
      <w:r>
        <w:t>3.5 网格化处理</w:t>
      </w:r>
    </w:p>
    <w:p>
      <w:pPr>
        <w:numPr>
          <w:ilvl w:val="0"/>
          <w:numId w:val="2"/>
        </w:numPr>
        <w:spacing w:after="80"/>
      </w:pPr>
      <w:r>
        <w:t>所有算例统一转化为网格矩阵格式，网格尺寸grid_size按数据字典默认10m×10m；</w:t>
      </w:r>
    </w:p>
    <w:p>
      <w:pPr>
        <w:numPr>
          <w:ilvl w:val="0"/>
          <w:numId w:val="2"/>
        </w:numPr>
        <w:spacing w:after="80"/>
      </w:pPr>
      <w:r>
        <w:t>地形数据（DEM、坡度、可建设区域）均以二维数组存储，数组索引(row, col)与相对坐标映射：x=col×grid_size，y=row×grid_size。</w:t>
      </w:r>
    </w:p>
    <w:p>
      <w:pPr>
        <w:pStyle w:val="Heading2"/>
      </w:pPr>
      <w:r>
        <w:t>四、算例存储规范</w:t>
      </w:r>
    </w:p>
    <w:p>
      <w:pPr>
        <w:pStyle w:val="Heading3"/>
      </w:pPr>
      <w:r>
        <w:t>4.1 文件格式</w:t>
      </w:r>
    </w:p>
    <w:p>
      <w:pPr>
        <w:numPr>
          <w:ilvl w:val="0"/>
          <w:numId w:val="2"/>
        </w:numPr>
        <w:spacing w:after="80"/>
      </w:pPr>
      <w:r>
        <w:t>双格式存储：</w:t>
      </w:r>
    </w:p>
    <w:p>
      <w:pPr>
        <w:spacing w:after="60"/>
        <w:ind w:left="1080"/>
      </w:pPr>
      <w:r>
        <w:t>◦ JSON格式（instance_xxx.json）：供模块直接调用（字段严格对应数据字典）；</w:t>
      </w:r>
    </w:p>
    <w:p>
      <w:pPr>
        <w:spacing w:after="60"/>
        <w:ind w:left="1080"/>
      </w:pPr>
      <w:r>
        <w:t>◦ Excel格式（instance_xxx.xlsx）：含算例说明、字段注释、约束详情，便于人工查看。</w:t>
      </w:r>
    </w:p>
    <w:p>
      <w:pPr>
        <w:numPr>
          <w:ilvl w:val="0"/>
          <w:numId w:val="2"/>
        </w:numPr>
        <w:spacing w:after="80"/>
      </w:pPr>
      <w:r>
        <w:t>编码格式：UTF-8，避免中文乱码。</w:t>
      </w:r>
    </w:p>
    <w:p>
      <w:pPr>
        <w:pStyle w:val="Heading3"/>
      </w:pPr>
      <w:r>
        <w:t>4.2 目录结构</w:t>
      </w:r>
    </w:p>
    <w:p>
      <w:pPr>
        <w:pBdr>
          <w:left w:val="single" w:color="3182CE" w:sz="24"/>
        </w:pBdr>
        <w:shd w:val="clear" w:fill="F7FAFC"/>
        <w:spacing w:before="120" w:after="120" w:line="280" w:lineRule="auto"/>
        <w:ind w:left="200"/>
      </w:pPr>
      <w:r>
        <w:rPr>
          <w:rFonts w:ascii="Consolas" w:hAnsi="Consolas"/>
          <w:sz w:val="18"/>
        </w:rPr>
        <w:t xml:space="preserve">instance_lib/</w:t>
      </w:r>
      <w:r>
        <w:br/>
      </w:r>
      <w:r>
        <w:rPr>
          <w:rFonts w:ascii="Consolas" w:hAnsi="Consolas"/>
          <w:sz w:val="18"/>
        </w:rPr>
        <w:t xml:space="preserve">├── public/          # 公开简化算例（按难度分级）</w:t>
      </w:r>
      <w:r>
        <w:br/>
      </w:r>
      <w:r>
        <w:rPr>
          <w:rFonts w:ascii="Consolas" w:hAnsi="Consolas"/>
          <w:sz w:val="18"/>
        </w:rPr>
        <w:t xml:space="preserve">│   ├── easy/        # 简单算例（1-5个）</w:t>
      </w:r>
      <w:r>
        <w:br/>
      </w:r>
      <w:r>
        <w:rPr>
          <w:rFonts w:ascii="Consolas" w:hAnsi="Consolas"/>
          <w:sz w:val="18"/>
        </w:rPr>
        <w:t xml:space="preserve">│   ├── medium/      # 中等算例（6-12个）</w:t>
      </w:r>
      <w:r>
        <w:br/>
      </w:r>
      <w:r>
        <w:rPr>
          <w:rFonts w:ascii="Consolas" w:hAnsi="Consolas"/>
          <w:sz w:val="18"/>
        </w:rPr>
        <w:t xml:space="preserve">│   └── hard/        # 复杂算例（13-17个）</w:t>
      </w:r>
      <w:r>
        <w:br/>
      </w:r>
      <w:r>
        <w:rPr>
          <w:rFonts w:ascii="Consolas" w:hAnsi="Consolas"/>
          <w:sz w:val="18"/>
        </w:rPr>
        <w:t xml:space="preserve">├── actual/          # 实际算例</w:t>
      </w:r>
      <w:r>
        <w:br/>
      </w:r>
      <w:r>
        <w:rPr>
          <w:rFonts w:ascii="Consolas" w:hAnsi="Consolas"/>
          <w:sz w:val="18"/>
        </w:rPr>
        <w:t xml:space="preserve">│   ├── sub_instance1/  # 东乡项目分区1算例</w:t>
      </w:r>
      <w:r>
        <w:br/>
      </w:r>
      <w:r>
        <w:rPr>
          <w:rFonts w:ascii="Consolas" w:hAnsi="Consolas"/>
          <w:sz w:val="18"/>
        </w:rPr>
        <w:t xml:space="preserve">│   ├── sub_instance2/  # 东乡项目分区2算例</w:t>
      </w:r>
      <w:r>
        <w:br/>
      </w:r>
      <w:r>
        <w:rPr>
          <w:rFonts w:ascii="Consolas" w:hAnsi="Consolas"/>
          <w:sz w:val="18"/>
        </w:rPr>
        <w:t xml:space="preserve">│   └── full_instance/  # 东乡项目完整算例</w:t>
      </w:r>
      <w:r>
        <w:br/>
      </w:r>
      <w:r>
        <w:rPr>
          <w:rFonts w:ascii="Consolas" w:hAnsi="Consolas"/>
          <w:sz w:val="18"/>
        </w:rPr>
        <w:t xml:space="preserve">├── custom/          # 自定义测试算例</w:t>
      </w:r>
      <w:r>
        <w:br/>
      </w:r>
      <w:r>
        <w:rPr>
          <w:rFonts w:ascii="Consolas" w:hAnsi="Consolas"/>
          <w:sz w:val="18"/>
        </w:rPr>
        <w:t xml:space="preserve">└── README.md        # 算例库说明</w:t>
      </w:r>
    </w:p>
    <w:p>
      <w:pPr>
        <w:pStyle w:val="Heading3"/>
      </w:pPr>
      <w:r>
        <w:t>4.3 命名规则</w:t>
      </w:r>
    </w:p>
    <w:p>
      <w:pPr>
        <w:numPr>
          <w:ilvl w:val="0"/>
          <w:numId w:val="2"/>
        </w:numPr>
        <w:spacing w:after="80"/>
      </w:pPr>
      <w:r>
        <w:t>格式：[类型缩写]_[难度/分区]_[序号].json</w:t>
      </w:r>
    </w:p>
    <w:p>
      <w:pPr>
        <w:numPr>
          <w:ilvl w:val="0"/>
          <w:numId w:val="2"/>
        </w:numPr>
        <w:spacing w:after="80"/>
      </w:pPr>
      <w:r>
        <w:t>示例：public_easy_01.json（公开简单算例1）、actual_full_01.json（实际完整算例1）、custom_slope_01.json（自定义高坡度算例1）。</w:t>
      </w:r>
    </w:p>
    <w:p>
      <w:pPr>
        <w:pStyle w:val="Heading2"/>
      </w:pPr>
      <w:r>
        <w:t>五、算例调用规则</w:t>
      </w:r>
    </w:p>
    <w:p>
      <w:pPr>
        <w:pStyle w:val="Heading3"/>
      </w:pPr>
      <w:r>
        <w:t>5.1 调用脚本（utils/load_instance.py）</w:t>
      </w:r>
    </w:p>
    <w:p>
      <w:pPr>
        <w:numPr>
          <w:ilvl w:val="0"/>
          <w:numId w:val="2"/>
        </w:numPr>
        <w:spacing w:after="80"/>
      </w:pPr>
      <w:r>
        <w:t>功能：支持按“算例ID、类型、难度”调用，自动校验字段完整性；</w:t>
      </w:r>
    </w:p>
    <w:p>
      <w:pPr>
        <w:numPr>
          <w:ilvl w:val="0"/>
          <w:numId w:val="2"/>
        </w:numPr>
        <w:spacing w:after="80"/>
      </w:pPr>
      <w:r>
        <w:t>核心函数：</w:t>
      </w:r>
    </w:p>
    <w:p>
      <w:pPr>
        <w:spacing w:after="60"/>
        <w:ind w:left="1080"/>
      </w:pPr>
      <w:r>
        <w:t>◦ load_instance(instance_id)：按ID加载单个算例；</w:t>
      </w:r>
    </w:p>
    <w:p>
      <w:pPr>
        <w:spacing w:after="60"/>
        <w:ind w:left="1080"/>
      </w:pPr>
      <w:r>
        <w:t>◦ load_instance_by_type(type=“public”, difficulty=“easy”)：按类型+难度批量加载；</w:t>
      </w:r>
    </w:p>
    <w:p>
      <w:pPr>
        <w:spacing w:after="60"/>
        <w:ind w:left="1080"/>
      </w:pPr>
      <w:r>
        <w:t>◦ validate_instance(instance)：校验算例字段是否符合数据字典规范。</w:t>
      </w:r>
    </w:p>
    <w:p>
      <w:pPr>
        <w:pStyle w:val="Heading3"/>
      </w:pPr>
      <w:r>
        <w:t>5.2 调用参数与返回格式</w:t>
      </w:r>
    </w:p>
    <w:p>
      <w:pPr>
        <w:numPr>
          <w:ilvl w:val="0"/>
          <w:numId w:val="2"/>
        </w:numPr>
        <w:spacing w:after="80"/>
      </w:pPr>
      <w:r>
        <w:t>输入参数：算例ID（如“public_easy_01”）或筛选条件（如type=“actual”, zone=“sub1”）；</w:t>
      </w:r>
    </w:p>
    <w:p>
      <w:pPr>
        <w:numPr>
          <w:ilvl w:val="0"/>
          <w:numId w:val="2"/>
        </w:numPr>
        <w:spacing w:after="80"/>
      </w:pPr>
      <w:r>
        <w:t>返回格式：标准化JSON（含instance_info（算例基本信息）、terrain_data（地形数据）、equipment_params（设备参数）、constraint_info（约束信息）四大核心字段）。</w:t>
      </w:r>
    </w:p>
    <w:p>
      <w:pPr>
        <w:pStyle w:val="Heading2"/>
      </w:pPr>
      <w:r>
        <w:t>六、算例验证指标（统一评估标准）</w:t>
      </w:r>
    </w:p>
    <w:p>
      <w:pPr>
        <w:pStyle w:val="Heading3"/>
      </w:pPr>
      <w:r>
        <w:t>6.1 通用指标（所有模块适用）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4000"/>
        <w:gridCol w:w="2000"/>
      </w:tblGrid>
      <w:tr>
        <w:trPr>
          <w:tblHeader/>
          <w:trHeight w:val="400" w:hRule="atLeast"/>
        </w:trPr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指标名称</w:t>
            </w:r>
          </w:p>
        </w:tc>
        <w:tc>
          <w:tcPr>
            <w:tcW w:w="4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计算方式</w:t>
            </w:r>
          </w:p>
        </w:tc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合格标准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字段完整性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（实际含有的必选字段数/数据字典必选字段数）×100%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≥95%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约束满足度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（满足的约束数/总约束数）×100%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≥98%（高优先级约束100%满足）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数据一致性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算例中关联参数的逻辑一致性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无逻辑矛盾</w:t>
            </w:r>
          </w:p>
        </w:tc>
      </w:tr>
    </w:tbl>
    <w:p>
      <w:pPr>
        <w:pStyle w:val="Heading3"/>
      </w:pPr>
      <w:r>
        <w:t>6.2 模块专用指标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500"/>
        <w:gridCol w:w="4000"/>
      </w:tblGrid>
      <w:tr>
        <w:trPr>
          <w:tblHeader/>
          <w:trHeight w:val="400" w:hRule="atLeast"/>
        </w:trPr>
        <w:tc>
          <w:tcPr>
            <w:tcW w:w="1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模块</w:t>
            </w:r>
          </w:p>
        </w:tc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专用指标</w:t>
            </w:r>
          </w:p>
        </w:tc>
        <w:tc>
          <w:tcPr>
            <w:tcW w:w="4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计算方式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模块一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覆盖面积利用率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（切割后面板覆盖可建设区域面积/可建设区域总面积）×100%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模块二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共沟成本优化率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（非共沟方案成本-共沟方案成本）/非共沟方案成本×100%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模块三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全生命周期成本降低率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（传统方案总成本-集成优化方案总成本）/传统方案总成本×100%</w:t>
            </w:r>
          </w:p>
        </w:tc>
      </w:tr>
    </w:tbl>
    <w:p>
      <w:pPr>
        <w:pStyle w:val="Heading2"/>
      </w:pPr>
      <w:r>
        <w:t>七、版本管理</w:t>
      </w:r>
    </w:p>
    <w:p>
      <w:pPr>
        <w:numPr>
          <w:ilvl w:val="0"/>
          <w:numId w:val="2"/>
        </w:numPr>
        <w:spacing w:after="80"/>
      </w:pPr>
      <w:r>
        <w:t>算例更新需标注版本号（如v1.0），记录更新内容（如“补充实际算例的道路约束字段”）；</w:t>
      </w:r>
    </w:p>
    <w:p>
      <w:pPr>
        <w:numPr>
          <w:ilvl w:val="0"/>
          <w:numId w:val="2"/>
        </w:numPr>
        <w:spacing w:after="80"/>
      </w:pPr>
      <w:r>
        <w:t>旧版本算例保留在instance_lib/history/目录，避免误删导致历史测试结果不可复现。</w:t>
      </w:r>
    </w:p>
    <w:p>
      <w:r>
        <w:br w:type="page"/>
      </w:r>
    </w:p>
    <w:p>
      <w:pPr>
        <w:pStyle w:val="Heading1"/>
      </w:pPr>
      <w:r>
        <w:t>第二部分 模块接口协议</w:t>
      </w:r>
    </w:p>
    <w:p>
      <w:pPr>
        <w:pStyle w:val="Heading2"/>
      </w:pPr>
      <w:r>
        <w:t>一、协议目的</w:t>
      </w:r>
    </w:p>
    <w:p>
      <w:pPr>
        <w:spacing w:after="120"/>
        <w:ind w:left="420" w:hanging="420"/>
      </w:pPr>
      <w:r>
        <w:rPr>
          <w:b/>
        </w:rPr>
        <w:t xml:space="preserve">(1) </w:t>
      </w:r>
      <w:r>
        <w:t>定义模块间数据传递的JSON格式、字段约束、校验规则，避免接口适配返工；</w:t>
      </w:r>
    </w:p>
    <w:p>
      <w:pPr>
        <w:spacing w:after="120"/>
        <w:ind w:left="420" w:hanging="420"/>
      </w:pPr>
      <w:r>
        <w:rPr>
          <w:b/>
        </w:rPr>
        <w:t xml:space="preserve">(2) </w:t>
      </w:r>
      <w:r>
        <w:t>明确数据传递方向（模块一输出→模块二输入，模块二输出→模块三输入）；</w:t>
      </w:r>
    </w:p>
    <w:p>
      <w:pPr>
        <w:spacing w:after="120"/>
        <w:ind w:left="420" w:hanging="420"/>
      </w:pPr>
      <w:r>
        <w:rPr>
          <w:b/>
        </w:rPr>
        <w:t xml:space="preserve">(3) </w:t>
      </w:r>
      <w:r>
        <w:t>规范错误码与异常处理，便于调试模块间衔接问题。</w:t>
      </w:r>
    </w:p>
    <w:p>
      <w:pPr>
        <w:pStyle w:val="Heading2"/>
      </w:pPr>
      <w:r>
        <w:t>二、适用范围</w:t>
      </w:r>
    </w:p>
    <w:p>
      <w:r>
        <w:t>本协议适用于“模块一（光伏面板切割及分区）”“模块二（电气设备选型+电缆共沟）”“模块三（集成优化）”的端到端数据传递，不涉及模块内部函数调用。</w:t>
      </w:r>
    </w:p>
    <w:p>
      <w:pPr>
        <w:pStyle w:val="Heading2"/>
      </w:pPr>
      <w:r>
        <w:t>三、接口清单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2500"/>
        <w:gridCol w:w="2500"/>
      </w:tblGrid>
      <w:tr>
        <w:trPr>
          <w:tblHeader/>
          <w:trHeight w:val="400" w:hRule="atLeast"/>
        </w:trPr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接口名称</w:t>
            </w:r>
          </w:p>
        </w:tc>
        <w:tc>
          <w:tcPr>
            <w:tcW w:w="2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数据方向</w:t>
            </w:r>
          </w:p>
        </w:tc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用途</w:t>
            </w:r>
          </w:p>
        </w:tc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核心字段来源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M1-Output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模块一→模块二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传递面板切割与分区结果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模块一决策变量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M2-Input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模块二→模块二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模块二接收模块一数据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M1-Output完整字段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M2-Output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模块二→模块三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传递设备选型与电缆路由结果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模块二决策变量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M3-Input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模块三→模块三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模块三接收模块二数据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M2-Output+损耗参数</w:t>
            </w:r>
          </w:p>
        </w:tc>
      </w:tr>
    </w:tbl>
    <w:p>
      <w:pPr>
        <w:pStyle w:val="Heading2"/>
      </w:pPr>
      <w:r>
        <w:t>四、接口详细定义</w:t>
      </w:r>
    </w:p>
    <w:p>
      <w:pPr>
        <w:pStyle w:val="Heading3"/>
      </w:pPr>
      <w:r>
        <w:t>4.1 接口M1-Output（模块一输出→模块二输入）</w:t>
      </w:r>
    </w:p>
    <w:p>
      <w:pPr>
        <w:spacing w:before="100" w:after="100"/>
      </w:pPr>
      <w:r>
        <w:rPr>
          <w:b/>
        </w:rPr>
        <w:t>接口用途：</w:t>
      </w:r>
      <w:r>
        <w:t>向模块二传递光伏面板的切割方案、分区归属、逆变器配置等核心结果，为设备选型与电缆路由提供基础。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1000"/>
        <w:gridCol w:w="1200"/>
        <w:gridCol w:w="3100"/>
      </w:tblGrid>
      <w:tr>
        <w:trPr>
          <w:tblHeader/>
          <w:trHeight w:val="400" w:hRule="atLeast"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字段名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类型</w:t>
            </w:r>
          </w:p>
        </w:tc>
        <w:tc>
          <w:tcPr>
            <w:tcW w:w="1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单位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必填</w:t>
            </w:r>
          </w:p>
        </w:tc>
        <w:tc>
          <w:tcPr>
            <w:tcW w:w="31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instance_id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关联的算例ID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cut_result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光伏面板切割结果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cut_result[].material_id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原材料ID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cut_result[].is_used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bool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该原材料是否被使用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cuts[].spec_l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切割长度（需满足2.0的整数倍）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cuts[].quantity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该规格的切割数量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partition_result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面板分区结果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partition_result[].panel_id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面板唯一ID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partition_result[].grid_coord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tuple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(row,col)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面板所在网格坐标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partition_result[].zone_id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所属分区ID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zone_summary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分区汇总信息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zone_summary[].pva_count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分区内面板数量（18-26）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zone_summary[].perimeter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分区周长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constraint_satisfaction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object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约束满足情况</w:t>
            </w:r>
          </w:p>
        </w:tc>
      </w:tr>
    </w:tbl>
    <w:p>
      <w:pPr>
        <w:spacing w:before="200"/>
      </w:pPr>
      <w:r>
        <w:rPr>
          <w:b/>
        </w:rPr>
        <w:t>校验规则：</w:t>
      </w:r>
    </w:p>
    <w:p>
      <w:pPr>
        <w:numPr>
          <w:ilvl w:val="0"/>
          <w:numId w:val="2"/>
        </w:numPr>
        <w:spacing w:after="80"/>
      </w:pPr>
      <w:r>
        <w:t>必选字段不得缺失，否则返回错误码E101；</w:t>
      </w:r>
    </w:p>
    <w:p>
      <w:pPr>
        <w:numPr>
          <w:ilvl w:val="0"/>
          <w:numId w:val="2"/>
        </w:numPr>
        <w:spacing w:after="80"/>
      </w:pPr>
      <w:r>
        <w:t>cuts[].spec_l必须是2.0的整数倍（如2.0、4.0），否则返回错误码E102；</w:t>
      </w:r>
    </w:p>
    <w:p>
      <w:pPr>
        <w:numPr>
          <w:ilvl w:val="0"/>
          <w:numId w:val="2"/>
        </w:numPr>
        <w:spacing w:after="80"/>
      </w:pPr>
      <w:r>
        <w:t>zone_summary[].pva_count必须在18-26之间，否则返回错误码E103；</w:t>
      </w:r>
    </w:p>
    <w:p>
      <w:pPr>
        <w:numPr>
          <w:ilvl w:val="0"/>
          <w:numId w:val="2"/>
        </w:numPr>
        <w:spacing w:after="80"/>
      </w:pPr>
      <w:r>
        <w:t>所有panel_id、zone_id、inverter_id必须唯一，否则返回错误码E104。</w:t>
      </w:r>
    </w:p>
    <w:p>
      <w:pPr>
        <w:pStyle w:val="Heading3"/>
      </w:pPr>
      <w:r>
        <w:t>4.2 接口M2-Output（模块二输出→模块三输入）</w:t>
      </w:r>
    </w:p>
    <w:p>
      <w:pPr>
        <w:spacing w:before="100" w:after="100"/>
      </w:pPr>
      <w:r>
        <w:rPr>
          <w:b/>
        </w:rPr>
        <w:t>接口用途：</w:t>
      </w:r>
      <w:r>
        <w:t>向模块三传递箱变/逆变器选型、电缆路由、共沟方案等结果，为成本+损耗集成优化提供基础。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1000"/>
        <w:gridCol w:w="1200"/>
        <w:gridCol w:w="3100"/>
      </w:tblGrid>
      <w:tr>
        <w:trPr>
          <w:tblHeader/>
          <w:trHeight w:val="400" w:hRule="atLeast"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字段名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类型</w:t>
            </w:r>
          </w:p>
        </w:tc>
        <w:tc>
          <w:tcPr>
            <w:tcW w:w="1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单位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必填</w:t>
            </w:r>
          </w:p>
        </w:tc>
        <w:tc>
          <w:tcPr>
            <w:tcW w:w="31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instance_id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关联的算例ID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module1_output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object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完整的M1-Output结果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equipment_selection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设备选型结果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equipment_selection[].transformer_id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箱变ID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equipment_selection[].Q_box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kVA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箱变容量（1600/3200）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equipment_selection[].install_coord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tuple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(x,y)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安装坐标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cable_routes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电缆路由结果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cable_routes[].route_id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路由ID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cable_routes[].cable_length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电缆总长度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trench_summary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array[object]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管沟汇总信息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trench_summary[].cable_count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根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管沟内电缆数量（≤4根）</w:t>
            </w:r>
          </w:p>
        </w:tc>
      </w:tr>
    </w:tbl>
    <w:p>
      <w:pPr>
        <w:spacing w:before="200"/>
      </w:pPr>
      <w:r>
        <w:rPr>
          <w:b/>
        </w:rPr>
        <w:t>校验规则：</w:t>
      </w:r>
    </w:p>
    <w:p>
      <w:pPr>
        <w:numPr>
          <w:ilvl w:val="0"/>
          <w:numId w:val="2"/>
        </w:numPr>
        <w:spacing w:after="80"/>
      </w:pPr>
      <w:r>
        <w:t>equipment_selection[].Q_box仅支持1600或3200kVA，否则返回错误码E201；</w:t>
      </w:r>
    </w:p>
    <w:p>
      <w:pPr>
        <w:numPr>
          <w:ilvl w:val="0"/>
          <w:numId w:val="2"/>
        </w:numPr>
        <w:spacing w:after="80"/>
      </w:pPr>
      <w:r>
        <w:t>trench_summary[].cable_count不得超过4，否则返回错误码E202；</w:t>
      </w:r>
    </w:p>
    <w:p>
      <w:pPr>
        <w:numPr>
          <w:ilvl w:val="0"/>
          <w:numId w:val="2"/>
        </w:numPr>
        <w:spacing w:after="80"/>
      </w:pPr>
      <w:r>
        <w:t>cable_routes[].install_coord的x/y必须是grid_size的整数倍，否则返回错误码E203；</w:t>
      </w:r>
    </w:p>
    <w:p>
      <w:pPr>
        <w:numPr>
          <w:ilvl w:val="0"/>
          <w:numId w:val="2"/>
        </w:numPr>
        <w:spacing w:after="80"/>
      </w:pPr>
      <w:r>
        <w:t>connected_inverters中的逆变器ID必须在M1-Output的inverter_id中存在，否则返回错误码E204。</w:t>
      </w:r>
    </w:p>
    <w:p>
      <w:pPr>
        <w:pStyle w:val="Heading3"/>
      </w:pPr>
      <w:r>
        <w:t>4.3 接口M3-Input（模块三输入）</w:t>
      </w:r>
    </w:p>
    <w:p>
      <w:pPr>
        <w:spacing w:before="100" w:after="100"/>
      </w:pPr>
      <w:r>
        <w:rPr>
          <w:b/>
        </w:rPr>
        <w:t>接口用途：</w:t>
      </w:r>
      <w:r>
        <w:t>模块三接收模块二输出结果+损耗相关参数，用于全生命周期成本（建设成本+电力损耗）优化。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1200"/>
        <w:gridCol w:w="1000"/>
        <w:gridCol w:w="1200"/>
        <w:gridCol w:w="3100"/>
      </w:tblGrid>
      <w:tr>
        <w:trPr>
          <w:tblHeader/>
          <w:trHeight w:val="400" w:hRule="atLeast"/>
        </w:trPr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字段名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类型</w:t>
            </w:r>
          </w:p>
        </w:tc>
        <w:tc>
          <w:tcPr>
            <w:tcW w:w="10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单位</w:t>
            </w:r>
          </w:p>
        </w:tc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必填</w:t>
            </w:r>
          </w:p>
        </w:tc>
        <w:tc>
          <w:tcPr>
            <w:tcW w:w="31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instance_id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关联的算例ID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module2_output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object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完整的M2-Output结果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object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电力损耗相关参数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loss_params.r_c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电缆导体截面半径（0.015）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loss_params.lambda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运行成本权重（0.4）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loss_params.I_max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float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电缆最大允许电流（200）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loss_params.K_segments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int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电流分段数量（3）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loss_params.I_segments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array[array]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A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是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电流分段区间</w:t>
            </w:r>
          </w:p>
        </w:tc>
      </w:tr>
    </w:tbl>
    <w:p>
      <w:pPr>
        <w:spacing w:before="200"/>
      </w:pPr>
      <w:r>
        <w:rPr>
          <w:b/>
        </w:rPr>
        <w:t>校验规则：</w:t>
      </w:r>
    </w:p>
    <w:p>
      <w:pPr>
        <w:numPr>
          <w:ilvl w:val="0"/>
          <w:numId w:val="2"/>
        </w:numPr>
        <w:spacing w:after="80"/>
      </w:pPr>
      <w:r>
        <w:t>loss_params字段必须与数据字典一致，取值超出范围（如lambda&gt;1）返回错误码E301；</w:t>
      </w:r>
    </w:p>
    <w:p>
      <w:pPr>
        <w:numPr>
          <w:ilvl w:val="0"/>
          <w:numId w:val="2"/>
        </w:numPr>
        <w:spacing w:after="80"/>
      </w:pPr>
      <w:r>
        <w:t>module2_output必须通过M2-Output的校验，否则返回错误码E302。</w:t>
      </w:r>
    </w:p>
    <w:p>
      <w:pPr>
        <w:pStyle w:val="Heading2"/>
      </w:pPr>
      <w:r>
        <w:t>五、错误码定义</w:t>
      </w:r>
    </w:p>
    <w:tbl>
      <w:tblPr>
        <w:tblW w:w="5000" w:type="pct"/>
        <w:tblBorders>
          <w:top w:val="single" w:color="2C5282" w:sz="8"/>
          <w:left w:val="single" w:color="CBD5E0" w:sz="4"/>
          <w:bottom w:val="single" w:color="2C5282" w:sz="8"/>
          <w:right w:val="single" w:color="CBD5E0" w:sz="4"/>
          <w:insideH w:val="single" w:color="CBD5E0" w:sz="4"/>
          <w:insideV w:val="single" w:color="CBD5E0" w:sz="4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2500"/>
        <w:gridCol w:w="4300"/>
      </w:tblGrid>
      <w:tr>
        <w:trPr>
          <w:tblHeader/>
          <w:trHeight w:val="400" w:hRule="atLeast"/>
        </w:trPr>
        <w:tc>
          <w:tcPr>
            <w:tcW w:w="12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错误码</w:t>
            </w:r>
          </w:p>
        </w:tc>
        <w:tc>
          <w:tcPr>
            <w:tcW w:w="25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错误类型</w:t>
            </w:r>
          </w:p>
        </w:tc>
        <w:tc>
          <w:tcPr>
            <w:tcW w:w="4300" w:type="dxa"/>
            <w:shd w:val="clear" w:fill="EDF2F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5282"/>
                <w:sz w:val="20"/>
              </w:rPr>
              <w:t>处理建议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E101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M1-Output必选字段缺失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检查模块一输出代码，补充缺失字段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E102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切割长度不符合整数列约束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修正模块一切割算法，确保spec_l为2.0的整数倍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E201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箱变容量不支持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检查模块二设备选型逻辑，仅允许1600/3200kVA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E202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管沟电缆数量超限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调整模块二共沟策略，确保单沟电缆数≤4根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E301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损耗参数取值异常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按数据字典修正loss_params字段</w:t>
            </w:r>
          </w:p>
        </w:tc>
      </w:tr>
      <w:tr>
        <w:trPr>
          <w:trHeight w:val="360" w:hRule="atLeast"/>
        </w:trPr>
        <w:tc>
          <w:tcPr>
            <w:tcW w:w="12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02C"/>
                <w:sz w:val="20"/>
              </w:rPr>
              <w:t>E302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模块二输出校验失败</w:t>
            </w:r>
          </w:p>
        </w:tc>
        <w:tc>
          <w:tcPr>
            <w:tcW w:w="43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02C"/>
                <w:sz w:val="20"/>
              </w:rPr>
              <w:t>先修复模块二的接口错误，再重新传递数据</w:t>
            </w:r>
          </w:p>
        </w:tc>
      </w:tr>
    </w:tbl>
    <w:p>
      <w:pPr>
        <w:pStyle w:val="Heading2"/>
      </w:pPr>
      <w:r>
        <w:t>六、接口调用方式</w:t>
      </w:r>
    </w:p>
    <w:p>
      <w:pPr>
        <w:spacing w:after="120"/>
        <w:ind w:left="420" w:hanging="420"/>
      </w:pPr>
      <w:r>
        <w:rPr>
          <w:b/>
        </w:rPr>
        <w:t xml:space="preserve">(1) </w:t>
      </w:r>
      <w:r>
        <w:t>模块间通过JSON文件传递数据，文件命名格式：[接口名]_[instance_id].json（如M1-Output_public_easy_01.json）；</w:t>
      </w:r>
    </w:p>
    <w:p>
      <w:pPr>
        <w:spacing w:after="120"/>
        <w:ind w:left="420" w:hanging="420"/>
      </w:pPr>
      <w:r>
        <w:rPr>
          <w:b/>
        </w:rPr>
        <w:t xml:space="preserve">(2) </w:t>
      </w:r>
      <w:r>
        <w:t>模块接收数据后，先调用validate_interface()函数校验（基于本协议规则），校验通过再进行后续计算；</w:t>
      </w:r>
    </w:p>
    <w:p>
      <w:pPr>
        <w:spacing w:after="120"/>
        <w:ind w:left="420" w:hanging="420"/>
      </w:pPr>
      <w:r>
        <w:rPr>
          <w:b/>
        </w:rPr>
        <w:t xml:space="preserve">(3) </w:t>
      </w:r>
      <w:r>
        <w:t>校验失败时，输出错误码+错误描述，终止后续流程，待修复后重新调用。</w:t>
      </w:r>
    </w:p>
    <w:p>
      <w:r>
        <w:br w:type="page"/>
      </w:r>
    </w:p>
    <w:p>
      <w:pPr>
        <w:pStyle w:val="Heading1"/>
      </w:pPr>
      <w:r>
        <w:t>第三部分 接口示例JSON文件</w:t>
      </w:r>
    </w:p>
    <w:p>
      <w:pPr>
        <w:pStyle w:val="Heading2"/>
      </w:pPr>
      <w:r>
        <w:t>1. M1-Output示例（public_easy_01.json）</w:t>
      </w:r>
    </w:p>
    <w:p>
      <w:pPr>
        <w:pStyle w:val="Code"/>
      </w:pPr>
      <w:r>
        <w:t xml:space="preserve">{</w:t>
      </w:r>
      <w:r>
        <w:br/>
      </w:r>
      <w:r>
        <w:t xml:space="preserve">  "instance_id": "public_easy_01",</w:t>
      </w:r>
      <w:r>
        <w:br/>
      </w:r>
      <w:r>
        <w:t xml:space="preserve">  "cut_result": [</w:t>
      </w:r>
      <w:r>
        <w:br/>
      </w:r>
      <w:r>
        <w:t xml:space="preserve">    {</w:t>
      </w:r>
      <w:r>
        <w:br/>
      </w:r>
      <w:r>
        <w:t xml:space="preserve">      "material_id": "mat_001",</w:t>
      </w:r>
      <w:r>
        <w:br/>
      </w:r>
      <w:r>
        <w:t xml:space="preserve">      "is_used": true,</w:t>
      </w:r>
      <w:r>
        <w:br/>
      </w:r>
      <w:r>
        <w:t xml:space="preserve">      "cuts": [</w:t>
      </w:r>
      <w:r>
        <w:br/>
      </w:r>
      <w:r>
        <w:t xml:space="preserve">        {"spec_l": 2.0, "quantity": 5},</w:t>
      </w:r>
      <w:r>
        <w:br/>
      </w:r>
      <w:r>
        <w:t xml:space="preserve">        {"spec_l": 4.0, "quantity": 3}</w:t>
      </w:r>
      <w:r>
        <w:br/>
      </w:r>
      <w:r>
        <w:t xml:space="preserve">      ]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"material_id": "mat_002",</w:t>
      </w:r>
      <w:r>
        <w:br/>
      </w:r>
      <w:r>
        <w:t xml:space="preserve">      "is_used": false,</w:t>
      </w:r>
      <w:r>
        <w:br/>
      </w:r>
      <w:r>
        <w:t xml:space="preserve">      "cuts": []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"partition_result": [</w:t>
      </w:r>
      <w:r>
        <w:br/>
      </w:r>
      <w:r>
        <w:t xml:space="preserve">    {</w:t>
      </w:r>
      <w:r>
        <w:br/>
      </w:r>
      <w:r>
        <w:t xml:space="preserve">      "panel_id": "pva_00123",</w:t>
      </w:r>
      <w:r>
        <w:br/>
      </w:r>
      <w:r>
        <w:t xml:space="preserve">      "grid_coord": [15, 28],</w:t>
      </w:r>
      <w:r>
        <w:br/>
      </w:r>
      <w:r>
        <w:t xml:space="preserve">      "cut_spec": [2.0, 3.0],</w:t>
      </w:r>
      <w:r>
        <w:br/>
      </w:r>
      <w:r>
        <w:t xml:space="preserve">      "zone_id": "zone_045",</w:t>
      </w:r>
      <w:r>
        <w:br/>
      </w:r>
      <w:r>
        <w:t xml:space="preserve">      "inverter_id": "inv_045"</w:t>
      </w:r>
      <w:r>
        <w:br/>
      </w:r>
      <w:r>
        <w:t xml:space="preserve">    },</w:t>
      </w:r>
      <w:r>
        <w:br/>
      </w:r>
      <w:r>
        <w:t xml:space="preserve">    {</w:t>
      </w:r>
      <w:r>
        <w:br/>
      </w:r>
      <w:r>
        <w:t xml:space="preserve">      "panel_id": "pva_00124",</w:t>
      </w:r>
      <w:r>
        <w:br/>
      </w:r>
      <w:r>
        <w:t xml:space="preserve">      "grid_coord": [15, 29],</w:t>
      </w:r>
      <w:r>
        <w:br/>
      </w:r>
      <w:r>
        <w:t xml:space="preserve">      "cut_spec": [2.0, 3.0],</w:t>
      </w:r>
      <w:r>
        <w:br/>
      </w:r>
      <w:r>
        <w:t xml:space="preserve">      "zone_id": "zone_045",</w:t>
      </w:r>
      <w:r>
        <w:br/>
      </w:r>
      <w:r>
        <w:t xml:space="preserve">      "inverter_id": "inv_045"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"zone_summary": [</w:t>
      </w:r>
      <w:r>
        <w:br/>
      </w:r>
      <w:r>
        <w:t xml:space="preserve">    {</w:t>
      </w:r>
      <w:r>
        <w:br/>
      </w:r>
      <w:r>
        <w:t xml:space="preserve">      "zone_id": "zone_045",</w:t>
      </w:r>
      <w:r>
        <w:br/>
      </w:r>
      <w:r>
        <w:t xml:space="preserve">      "inverter_id": "inv_045",</w:t>
      </w:r>
      <w:r>
        <w:br/>
      </w:r>
      <w:r>
        <w:t xml:space="preserve">      "pva_count": 22,</w:t>
      </w:r>
      <w:r>
        <w:br/>
      </w:r>
      <w:r>
        <w:t xml:space="preserve">      "perimeter": 78.5,</w:t>
      </w:r>
      <w:r>
        <w:br/>
      </w:r>
      <w:r>
        <w:t xml:space="preserve">      "total_power": 66.0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"constraint_satisfaction": {</w:t>
      </w:r>
      <w:r>
        <w:br/>
      </w:r>
      <w:r>
        <w:t xml:space="preserve">    "整数切割": "100%",</w:t>
      </w:r>
      <w:r>
        <w:br/>
      </w:r>
      <w:r>
        <w:t xml:space="preserve">    "分区连通性": "100%",</w:t>
      </w:r>
      <w:r>
        <w:br/>
      </w:r>
      <w:r>
        <w:t xml:space="preserve">    "逆变器容量约束": "100%",</w:t>
      </w:r>
      <w:r>
        <w:br/>
      </w:r>
      <w:r>
        <w:t xml:space="preserve">    "分区周长约束": "98%"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pStyle w:val="Heading2"/>
      </w:pPr>
      <w:r>
        <w:t>2. M2-Output示例（public_easy_01.json）</w:t>
      </w:r>
    </w:p>
    <w:p>
      <w:pPr>
        <w:pStyle w:val="Code"/>
      </w:pPr>
      <w:r>
        <w:t xml:space="preserve">{</w:t>
      </w:r>
      <w:r>
        <w:br/>
      </w:r>
      <w:r>
        <w:t xml:space="preserve">  "instance_id": "public_easy_01",</w:t>
      </w:r>
      <w:r>
        <w:br/>
      </w:r>
      <w:r>
        <w:t xml:space="preserve">  "module1_output": { ... },</w:t>
      </w:r>
      <w:r>
        <w:br/>
      </w:r>
      <w:r>
        <w:t xml:space="preserve">  "equipment_selection": [</w:t>
      </w:r>
      <w:r>
        <w:br/>
      </w:r>
      <w:r>
        <w:t xml:space="preserve">    {</w:t>
      </w:r>
      <w:r>
        <w:br/>
      </w:r>
      <w:r>
        <w:t xml:space="preserve">      "transformer_id": "box_023",</w:t>
      </w:r>
      <w:r>
        <w:br/>
      </w:r>
      <w:r>
        <w:t xml:space="preserve">      "Q_box": 3200,</w:t>
      </w:r>
      <w:r>
        <w:br/>
      </w:r>
      <w:r>
        <w:t xml:space="preserve">      "install_coord": [1180, 750],</w:t>
      </w:r>
      <w:r>
        <w:br/>
      </w:r>
      <w:r>
        <w:t xml:space="preserve">      "connected_inverters": ["inv_045"],</w:t>
      </w:r>
      <w:r>
        <w:br/>
      </w:r>
      <w:r>
        <w:t xml:space="preserve">      "cost": {</w:t>
      </w:r>
      <w:r>
        <w:br/>
      </w:r>
      <w:r>
        <w:t xml:space="preserve">        "purchase": 50.0,</w:t>
      </w:r>
      <w:r>
        <w:br/>
      </w:r>
      <w:r>
        <w:t xml:space="preserve">        "installation": 3.0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"cable_routes": [</w:t>
      </w:r>
      <w:r>
        <w:br/>
      </w:r>
      <w:r>
        <w:t xml:space="preserve">    {</w:t>
      </w:r>
      <w:r>
        <w:br/>
      </w:r>
      <w:r>
        <w:t xml:space="preserve">      "route_id": "route_089",</w:t>
      </w:r>
      <w:r>
        <w:br/>
      </w:r>
      <w:r>
        <w:t xml:space="preserve">      "inverter_id": "inv_045",</w:t>
      </w:r>
      <w:r>
        <w:br/>
      </w:r>
      <w:r>
        <w:t xml:space="preserve">      "transformer_id": "box_023",</w:t>
      </w:r>
      <w:r>
        <w:br/>
      </w:r>
      <w:r>
        <w:t xml:space="preserve">      "substation_id": "sub_01",</w:t>
      </w:r>
      <w:r>
        <w:br/>
      </w:r>
      <w:r>
        <w:t xml:space="preserve">      "edges": [</w:t>
      </w:r>
      <w:r>
        <w:br/>
      </w:r>
      <w:r>
        <w:t xml:space="preserve">        {"u": "v1_001", "v": "v2_002", "is_trench": true},</w:t>
      </w:r>
      <w:r>
        <w:br/>
      </w:r>
      <w:r>
        <w:t xml:space="preserve">        {"u": "v2_002", "v": "v3_003", "is_trench": true}</w:t>
      </w:r>
      <w:r>
        <w:br/>
      </w:r>
      <w:r>
        <w:t xml:space="preserve">      ],</w:t>
      </w:r>
      <w:r>
        <w:br/>
      </w:r>
      <w:r>
        <w:t xml:space="preserve">      "cable_length": 850.2,</w:t>
      </w:r>
      <w:r>
        <w:br/>
      </w:r>
      <w:r>
        <w:t xml:space="preserve">      "cost": {</w:t>
      </w:r>
      <w:r>
        <w:br/>
      </w:r>
      <w:r>
        <w:t xml:space="preserve">        "cable": 29757.0,</w:t>
      </w:r>
      <w:r>
        <w:br/>
      </w:r>
      <w:r>
        <w:t xml:space="preserve">        "trenching": 170040.0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"trench_summary": [</w:t>
      </w:r>
      <w:r>
        <w:br/>
      </w:r>
      <w:r>
        <w:t xml:space="preserve">    {</w:t>
      </w:r>
      <w:r>
        <w:br/>
      </w:r>
      <w:r>
        <w:t xml:space="preserve">      "trench_id": "trench_034",</w:t>
      </w:r>
      <w:r>
        <w:br/>
      </w:r>
      <w:r>
        <w:t xml:space="preserve">      "substation_id": "sub_01",</w:t>
      </w:r>
      <w:r>
        <w:br/>
      </w:r>
      <w:r>
        <w:t xml:space="preserve">      "length": 850.2,</w:t>
      </w:r>
      <w:r>
        <w:br/>
      </w:r>
      <w:r>
        <w:t xml:space="preserve">      "cable_count": 3,</w:t>
      </w:r>
      <w:r>
        <w:br/>
      </w:r>
      <w:r>
        <w:t xml:space="preserve">      "cost": 170040.0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"constraint_satisfaction": {</w:t>
      </w:r>
      <w:r>
        <w:br/>
      </w:r>
      <w:r>
        <w:t xml:space="preserve">    "共沟约束": "100%",</w:t>
      </w:r>
      <w:r>
        <w:br/>
      </w:r>
      <w:r>
        <w:t xml:space="preserve">    "箱变容量": "100%",</w:t>
      </w:r>
      <w:r>
        <w:br/>
      </w:r>
      <w:r>
        <w:t xml:space="preserve">    "路由连续性": "100%",</w:t>
      </w:r>
      <w:r>
        <w:br/>
      </w:r>
      <w:r>
        <w:t xml:space="preserve">    "电缆载流量": "100%"</w:t>
      </w:r>
      <w:r>
        <w:br/>
      </w:r>
      <w:r>
        <w:t xml:space="preserve">  }</w:t>
      </w:r>
      <w:r>
        <w:br/>
      </w:r>
      <w:r>
        <w:t xml:space="preserve">}</w:t>
      </w:r>
    </w:p>
    <w:p>
      <w:pPr>
        <w:pStyle w:val="Heading2"/>
      </w:pPr>
      <w:r>
        <w:t>3. M3-Input示例（public_easy_01.json）</w:t>
      </w:r>
    </w:p>
    <w:p>
      <w:pPr>
        <w:pStyle w:val="Code"/>
      </w:pPr>
      <w:r>
        <w:t xml:space="preserve">{</w:t>
      </w:r>
      <w:r>
        <w:br/>
      </w:r>
      <w:r>
        <w:t xml:space="preserve">  "instance_id": "public_easy_01",</w:t>
      </w:r>
      <w:r>
        <w:br/>
      </w:r>
      <w:r>
        <w:t xml:space="preserve">  "module2_output": { ... },</w:t>
      </w:r>
      <w:r>
        <w:br/>
      </w:r>
      <w:r>
        <w:t xml:space="preserve">  "loss_params": {</w:t>
      </w:r>
      <w:r>
        <w:br/>
      </w:r>
      <w:r>
        <w:t xml:space="preserve">    "r_c": 0.015,</w:t>
      </w:r>
      <w:r>
        <w:br/>
      </w:r>
      <w:r>
        <w:t xml:space="preserve">    "lambda": 0.4,</w:t>
      </w:r>
      <w:r>
        <w:br/>
      </w:r>
      <w:r>
        <w:t xml:space="preserve">    "I_max": 200.0,</w:t>
      </w:r>
      <w:r>
        <w:br/>
      </w:r>
      <w:r>
        <w:t xml:space="preserve">    "K_segments": 3,</w:t>
      </w:r>
      <w:r>
        <w:br/>
      </w:r>
      <w:r>
        <w:t xml:space="preserve">    "I_segments": [[0, 20], [20, 35], [35, 50]]</w:t>
      </w:r>
      <w:r>
        <w:br/>
      </w:r>
      <w:r>
        <w:t xml:space="preserve">  }</w:t>
      </w:r>
      <w:r>
        <w:br/>
      </w:r>
      <w:r>
        <w:t xml:space="preserve">}</w:t>
      </w:r>
    </w:p>
    <w:sectPr>
      <w:headerReference w:type="default" r:id="Re7285843875c43d8"/>
      <w:footerReference w:type="default" r:id="R6528d2e72004416c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-</w:t>
    </w:r>
  </w:p>
</w:ftr>
</file>

<file path=word/header1.xml><?xml version="1.0" encoding="utf-8"?>
<w:hdr xmlns:w="http://schemas.openxmlformats.org/wordprocessingml/2006/main">
  <w:p>
    <w:pPr>
      <w:pBdr>
        <w:bottom w:val="single" w:color="CBD5E0" w:sz="4"/>
      </w:pBdr>
      <w:jc w:val="center"/>
    </w:pPr>
    <w:r>
      <w:rPr>
        <w:color w:val="718096"/>
        <w:sz w:val="18"/>
      </w:rPr>
      <w:t>大型山地光伏电站设计中的建模与算法研究 - 技术规范文档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20" w:lineRule="auto"/>
      <w:jc w:val="both"/>
    </w:pPr>
    <w:rPr>
      <w:rFonts w:ascii="Calibri" w:hAnsi="Calibri" w:eastAsia="Microsoft YaHei"/>
      <w:color w:val="1A202C"/>
      <w:sz w:val="21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outlineLvl w:val="0"/>
    </w:pPr>
    <w:rPr>
      <w:rFonts w:eastAsia="SimHei"/>
      <w:b/>
      <w:color w:val="2C5282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outlineLvl w:val="1"/>
    </w:pPr>
    <w:rPr>
      <w:rFonts w:eastAsia="SimHei"/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5568"/>
      <w:sz w:val="24"/>
    </w:rPr>
  </w:style>
  <w:style w:type="paragraph" w:styleId="Code">
    <w:name w:val="Code"/>
    <w:basedOn w:val="Normal"/>
    <w:pPr>
      <w:pBdr>
        <w:left w:val="single" w:color="3182CE" w:sz="24"/>
      </w:pBdr>
      <w:shd w:val="clear" w:fill="F7FAFC"/>
      <w:spacing w:before="100" w:after="100" w:line="280" w:lineRule="auto"/>
    </w:pPr>
    <w:rPr>
      <w:rFonts w:ascii="Consolas" w:hAnsi="Consolas"/>
      <w:color w:val="1A202C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3d44e927a6d4493" /><Relationship Type="http://schemas.openxmlformats.org/officeDocument/2006/relationships/numbering" Target="/word/numbering.xml" Id="R4028371d8dd2456f" /><Relationship Type="http://schemas.openxmlformats.org/officeDocument/2006/relationships/header" Target="/word/header1.xml" Id="Re7285843875c43d8" /><Relationship Type="http://schemas.openxmlformats.org/officeDocument/2006/relationships/footer" Target="/word/footer1.xml" Id="R6528d2e72004416c" /></Relationships>
</file>