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DARE: Design, AI, Reasoning and Emotion</w:t>
      </w:r>
    </w:p>
    <w:p>
      <w:pPr/>
      <w:r>
        <w:rPr>
          <w:i/>
        </w:rPr>
        <w:t xml:space="preserve">How Generative AI Reshapes Undergraduate Students' Design Activity</w:t>
      </w:r>
    </w:p>
    <w:p>
      <w:pPr/>
      <w:r>
        <w:t xml:space="preserve">Oct 27, 2026</w:t>
      </w:r>
      <w:r>
        <w:t xml:space="preserve"> · </w:t>
      </w:r>
      <w:r>
        <w:t xml:space="preserve">@Lawrence</w:t>
      </w:r>
    </w:p>
    <w:p>
      <w:pPr>
        <w:pStyle w:val="Heading2"/>
      </w:pPr>
      <w:r>
        <w:t xml:space="preserve">Summary</w:t>
      </w:r>
    </w:p>
    <w:tbl>
      <w:tblPr>
        <w:tblStyle w:val="TableGrid"/>
        <w:tblW w:w="0" w:type="auto"/>
        <w:tblLayout w:type="fixed"/>
        <w:tblLook w:val="04A0" w:firstRow="1" w:lastRow="0" w:firstColumn="0" w:lastColumn="0" w:noHBand="0" w:noVBand="1"/>
      </w:tblPr>
      <w:tblGrid>
        <w:gridCol w:w="3147"/>
        <w:gridCol w:w="6212"/>
      </w:tblGrid>
      <w:tr>
        <w:trPr>
          <w:tblHeader/>
        </w:trPr>
        <w:tc>
          <w:tcPr>
            <w:tcW w:w="3147" w:type="dxa"/>
            <w:shd w:val="clear" w:color="auto" w:fill="F2F2F2"/>
          </w:tcPr>
          <w:p>
            <w:pPr/>
          </w:p>
        </w:tc>
        <w:tc>
          <w:tcPr>
            <w:tcW w:w="6212" w:type="dxa"/>
            <w:shd w:val="clear" w:color="auto" w:fill="F2F2F2"/>
          </w:tcPr>
          <w:p>
            <w:pPr/>
          </w:p>
        </w:tc>
      </w:tr>
      <w:tr>
        <w:tc>
          <w:tcPr>
            <w:tcW w:w="3147" w:type="dxa"/>
          </w:tcPr>
          <w:p>
            <w:pPr/>
            <w:r>
              <w:t xml:space="preserve">Principal Investigator</w:t>
            </w:r>
          </w:p>
        </w:tc>
        <w:tc>
          <w:tcPr>
            <w:tcW w:w="6212" w:type="dxa"/>
          </w:tcPr>
          <w:p>
            <w:pPr/>
            <w:r>
              <w:t xml:space="preserve">Dr. Ing. Lawrence Farrugia Caruana, Department of Technology and Entrepreneurship Education, University of Malta</w:t>
            </w:r>
          </w:p>
        </w:tc>
      </w:tr>
      <w:tr>
        <w:tc>
          <w:tcPr>
            <w:tcW w:w="3147" w:type="dxa"/>
          </w:tcPr>
          <w:p>
            <w:pPr/>
            <w:r>
              <w:t xml:space="preserve">Duration</w:t>
            </w:r>
          </w:p>
        </w:tc>
        <w:tc>
          <w:tcPr>
            <w:tcW w:w="6212" w:type="dxa"/>
          </w:tcPr>
          <w:p>
            <w:pPr/>
            <w:r>
              <w:t xml:space="preserve">12 months</w:t>
            </w:r>
          </w:p>
        </w:tc>
      </w:tr>
      <w:tr>
        <w:tc>
          <w:tcPr>
            <w:tcW w:w="3147" w:type="dxa"/>
          </w:tcPr>
          <w:p>
            <w:pPr/>
            <w:r>
              <w:t xml:space="preserve">Participants</w:t>
            </w:r>
          </w:p>
        </w:tc>
        <w:tc>
          <w:tcPr>
            <w:tcW w:w="6212" w:type="dxa"/>
          </w:tcPr>
          <w:p>
            <w:pPr/>
            <w:r>
              <w:t xml:space="preserve">15 to 30 undergraduate students</w:t>
            </w:r>
          </w:p>
        </w:tc>
      </w:tr>
      <w:tr>
        <w:tc>
          <w:tcPr>
            <w:tcW w:w="3147" w:type="dxa"/>
          </w:tcPr>
          <w:p>
            <w:pPr/>
            <w:r>
              <w:t xml:space="preserve">Research support</w:t>
            </w:r>
          </w:p>
        </w:tc>
        <w:tc>
          <w:tcPr>
            <w:tcW w:w="6212" w:type="dxa"/>
          </w:tcPr>
          <w:p>
            <w:pPr/>
            <w:r>
              <w:t xml:space="preserve">110 hours (EUR 2,212.10 at EUR 20.11 per hour)</w:t>
            </w:r>
          </w:p>
        </w:tc>
      </w:tr>
    </w:tbl>
    <w:p>
      <w:pPr/>
      <w:r>
        <w:t xml:space="preserve">Generative AI is rapidly entering design practice and education, yet research has largely asked whether it improves design outcomes rather than how it changes the way people design. This study examines how generative AI reshapes design reasoning, cognitive load and epistemic emotions among at least 15 undergraduate students. In a counterbalanced within subjects design, each student completes two matched design briefs, with and without AI. Concurrent think aloud protocols are coded using the Function Behaviour Structure ontology, complemented by validated measures and expert creativity ratings. Findings will contribute to design cognition research and inform how AI is integrated, assessed and taught in design education.</w:t>
      </w:r>
    </w:p>
    <w:p>
      <w:pPr>
        <w:pStyle w:val="Heading2"/>
      </w:pPr>
      <w:r>
        <w:t xml:space="preserve">Rationale and contribution</w:t>
      </w:r>
    </w:p>
    <w:p>
      <w:pPr/>
      <w:r>
        <w:t xml:space="preserve">Research on generative AI in design has grown rapidly but remains focused on outcomes. A recent meta-analysis reports a pooled effect of d = 0.60 and suggests that how AI is used matters more than which tool is used (Chiang, 2026). Experimental work also shows that AI can increase design fixation (Jansson and Smith, 1991; Wadinambiarachchi et al., 2024). Studies with design students have measured outcomes, self reports or patterns of tool use (Liu et al., 2024; Schut et al., n.d.), and exploratory work calls for controlled comparisons with expert evaluation (Georgieva and Georgiev, 2025). How AI changes the way students reason while designing remains largely unexplored.</w:t>
      </w:r>
    </w:p>
    <w:p>
      <w:pPr/>
      <w:r>
        <w:t xml:space="preserve">The study contributes in three ways.</w:t>
      </w:r>
    </w:p>
    <w:p>
      <w:pPr>
        <w:pStyle w:val="ListParagraph"/>
        <w:numPr>
          <w:ilvl w:val="0"/>
          <w:numId w:val="2"/>
        </w:numPr>
      </w:pPr>
      <w:r>
        <w:rPr>
          <w:b/>
        </w:rPr>
        <w:t xml:space="preserve">Mechanism:</w:t>
      </w:r>
      <w:r>
        <w:t xml:space="preserve"> concurrent think aloud protocols coded with the Function Behaviour Structure (FBS) ontology (Gero and Kannengiesser, 2004) under counterbalanced conditions.</w:t>
      </w:r>
    </w:p>
    <w:p>
      <w:pPr>
        <w:pStyle w:val="ListParagraph"/>
        <w:numPr>
          <w:ilvl w:val="0"/>
          <w:numId w:val="2"/>
        </w:numPr>
      </w:pPr>
      <w:r>
        <w:rPr>
          <w:b/>
        </w:rPr>
        <w:t xml:space="preserve">Emotion:</w:t>
      </w:r>
      <w:r>
        <w:t xml:space="preserve"> epistemic emotions such as curiosity, confusion and surprise, grounded in control value theory (Pekrun, 2006).</w:t>
      </w:r>
    </w:p>
    <w:p>
      <w:pPr>
        <w:pStyle w:val="ListParagraph"/>
        <w:numPr>
          <w:ilvl w:val="0"/>
          <w:numId w:val="2"/>
        </w:numPr>
      </w:pPr>
      <w:r>
        <w:rPr>
          <w:b/>
        </w:rPr>
        <w:t xml:space="preserve">Context:</w:t>
      </w:r>
      <w:r>
        <w:t xml:space="preserve"> undergraduates from both engineering and design and technology programmes, whereas most existing studies sample a single discipline.</w:t>
      </w:r>
    </w:p>
    <w:p>
      <w:pPr>
        <w:pStyle w:val="Heading2"/>
      </w:pPr>
      <w:r>
        <w:t xml:space="preserve">Research questions</w:t>
      </w:r>
    </w:p>
    <w:p>
      <w:pPr>
        <w:pStyle w:val="ListParagraph"/>
        <w:numPr>
          <w:ilvl w:val="0"/>
          <w:numId w:val="3"/>
        </w:numPr>
      </w:pPr>
      <w:r>
        <w:t xml:space="preserve">How does generative AI change the structure of students' design reasoning? (primary)</w:t>
      </w:r>
    </w:p>
    <w:p>
      <w:pPr>
        <w:pStyle w:val="ListParagraph"/>
        <w:numPr>
          <w:ilvl w:val="0"/>
          <w:numId w:val="3"/>
        </w:numPr>
      </w:pPr>
      <w:r>
        <w:t xml:space="preserve">How does it affect cognitive load and epistemic emotions during designing?</w:t>
      </w:r>
    </w:p>
    <w:p>
      <w:pPr>
        <w:pStyle w:val="ListParagraph"/>
        <w:numPr>
          <w:ilvl w:val="0"/>
          <w:numId w:val="3"/>
        </w:numPr>
      </w:pPr>
      <w:r>
        <w:t xml:space="preserve">Do outcomes differ in rated creativity, and how do students judge AI as a creativity support tool? (secondary)</w:t>
      </w:r>
    </w:p>
    <w:p>
      <w:pPr/>
      <w:r>
        <w:rPr>
          <w:b/>
        </w:rPr>
        <w:t xml:space="preserve">Hypothesis.</w:t>
      </w:r>
      <w:r>
        <w:t xml:space="preserve"> With AI, students will show proportionally fewer formulation and reformulation processes, and more evaluation of structures supplied by the AI.</w:t>
      </w:r>
    </w:p>
    <w:p>
      <w:pPr>
        <w:pStyle w:val="Heading2"/>
      </w:pPr>
      <w:r>
        <w:t xml:space="preserve">Method</w:t>
      </w:r>
    </w:p>
    <w:p>
      <w:pPr/>
      <w:r>
        <w:rPr>
          <w:b/>
        </w:rPr>
        <w:t xml:space="preserve">Design.</w:t>
      </w:r>
      <w:r>
        <w:t xml:space="preserve"> A counterbalanced within subjects design (AB/BA) with a convergent mixed methods strand. Brief and condition are crossed so that each brief appears equally often with and without AI.</w:t>
      </w:r>
    </w:p>
    <w:p>
      <w:pPr/>
      <w:r>
        <w:rPr>
          <w:b/>
        </w:rPr>
        <w:t xml:space="preserve">Participants.</w:t>
      </w:r>
      <w:r>
        <w:t xml:space="preserve"> A minimum of 15 and a maximum of 30 undergraduate students from engineering and design and technology degree programmes, recruited by a research support officer engaged for the project rather than by the investigator. The invitation is extended to all students in both programmes. If more than 15 students take part, all complete both design sessions and the questionnaires, while transcription, FBS coding and interviews are limited to a subsample of 15, balanced across programmes and condition order. Participation is voluntary and unrelated to assessment.</w:t>
      </w:r>
    </w:p>
    <w:p>
      <w:pPr/>
      <w:r>
        <w:rPr>
          <w:b/>
        </w:rPr>
        <w:t xml:space="preserve">Materials.</w:t>
      </w:r>
      <w:r>
        <w:t xml:space="preserve"> Two matched design briefs, piloted with two non participants to confirm comparable difficulty. All participants use the same generative AI tool and settings.</w:t>
      </w:r>
    </w:p>
    <w:p>
      <w:pPr/>
      <w:r>
        <w:rPr>
          <w:b/>
        </w:rPr>
        <w:t xml:space="preserve">Procedure.</w:t>
      </w:r>
      <w:r>
        <w:t xml:space="preserve"> Each participant attends two individual design sessions at least one week apart, followed by a separate interview, less than three hours in total.</w:t>
      </w:r>
    </w:p>
    <w:tbl>
      <w:tblPr>
        <w:tblStyle w:val="TableGrid"/>
        <w:tblW w:w="0" w:type="auto"/>
        <w:tblLayout w:type="fixed"/>
        <w:tblLook w:val="04A0" w:firstRow="1" w:lastRow="0" w:firstColumn="0" w:lastColumn="0" w:noHBand="0" w:noVBand="1"/>
      </w:tblPr>
      <w:tblGrid>
        <w:gridCol w:w="1515"/>
        <w:gridCol w:w="5894"/>
        <w:gridCol w:w="1950"/>
      </w:tblGrid>
      <w:tr>
        <w:trPr>
          <w:tblHeader/>
        </w:trPr>
        <w:tc>
          <w:tcPr>
            <w:tcW w:w="1515" w:type="dxa"/>
            <w:shd w:val="clear" w:color="auto" w:fill="F2F2F2"/>
          </w:tcPr>
          <w:p>
            <w:pPr/>
            <w:r>
              <w:t xml:space="preserve">Stage</w:t>
            </w:r>
          </w:p>
        </w:tc>
        <w:tc>
          <w:tcPr>
            <w:tcW w:w="5894" w:type="dxa"/>
            <w:shd w:val="clear" w:color="auto" w:fill="F2F2F2"/>
          </w:tcPr>
          <w:p>
            <w:pPr/>
            <w:r>
              <w:t xml:space="preserve">Activities</w:t>
            </w:r>
          </w:p>
        </w:tc>
        <w:tc>
          <w:tcPr>
            <w:tcW w:w="1950" w:type="dxa"/>
            <w:shd w:val="clear" w:color="auto" w:fill="F2F2F2"/>
          </w:tcPr>
          <w:p>
            <w:pPr/>
            <w:r>
              <w:t xml:space="preserve">Duration</w:t>
            </w:r>
          </w:p>
        </w:tc>
      </w:tr>
      <w:tr>
        <w:tc>
          <w:tcPr>
            <w:tcW w:w="1515" w:type="dxa"/>
          </w:tcPr>
          <w:p>
            <w:pPr/>
            <w:r>
              <w:t xml:space="preserve">Session 1</w:t>
            </w:r>
          </w:p>
        </w:tc>
        <w:tc>
          <w:tcPr>
            <w:tcW w:w="5894" w:type="dxa"/>
          </w:tcPr>
          <w:p>
            <w:pPr/>
            <w:r>
              <w:t xml:space="preserve">Pre questionnaires (demographics, creative self efficacy, AI literacy); think aloud warm up; first design task of 40 minutes, with or without AI; session questionnaires</w:t>
            </w:r>
          </w:p>
        </w:tc>
        <w:tc>
          <w:tcPr>
            <w:tcW w:w="1950" w:type="dxa"/>
          </w:tcPr>
          <w:p>
            <w:pPr/>
            <w:r>
              <w:t xml:space="preserve">About 75 min</w:t>
            </w:r>
          </w:p>
        </w:tc>
      </w:tr>
      <w:tr>
        <w:tc>
          <w:tcPr>
            <w:tcW w:w="1515" w:type="dxa"/>
          </w:tcPr>
          <w:p>
            <w:pPr/>
            <w:r>
              <w:t xml:space="preserve">Session 2</w:t>
            </w:r>
          </w:p>
        </w:tc>
        <w:tc>
          <w:tcPr>
            <w:tcW w:w="5894" w:type="dxa"/>
          </w:tcPr>
          <w:p>
            <w:pPr/>
            <w:r>
              <w:t xml:space="preserve">Think aloud warm up; second design task under the other condition; session questionnaires</w:t>
            </w:r>
          </w:p>
        </w:tc>
        <w:tc>
          <w:tcPr>
            <w:tcW w:w="1950" w:type="dxa"/>
          </w:tcPr>
          <w:p>
            <w:pPr/>
            <w:r>
              <w:t xml:space="preserve">About 60 min</w:t>
            </w:r>
          </w:p>
        </w:tc>
      </w:tr>
      <w:tr>
        <w:tc>
          <w:tcPr>
            <w:tcW w:w="1515" w:type="dxa"/>
          </w:tcPr>
          <w:p>
            <w:pPr/>
            <w:r>
              <w:t xml:space="preserve">Interview</w:t>
            </w:r>
          </w:p>
        </w:tc>
        <w:tc>
          <w:tcPr>
            <w:tcW w:w="5894" w:type="dxa"/>
          </w:tcPr>
          <w:p>
            <w:pPr/>
            <w:r>
              <w:t xml:space="preserve">Semi structured interview within four working days of Session 2, in person or online, prompted by short extracts from the participant's own recordings</w:t>
            </w:r>
          </w:p>
        </w:tc>
        <w:tc>
          <w:tcPr>
            <w:tcW w:w="1950" w:type="dxa"/>
          </w:tcPr>
          <w:p>
            <w:pPr/>
            <w:r>
              <w:t xml:space="preserve">About 30 min</w:t>
            </w:r>
          </w:p>
        </w:tc>
      </w:tr>
    </w:tbl>
    <w:p>
      <w:pPr/>
      <w:r>
        <w:t xml:space="preserve">During each design task, audio, the screen and the sketching area are recorded, and AI prompts and responses are saved. The emotion scales are completed before the cognitive load items, while emotions are fresh. Final concepts are submitted in the same format in both conditions, as hand sketches with a short description, so that judges cannot identify the condition. After data collection, two or three judges rate the anonymised concepts blind to condition.</w:t>
      </w:r>
    </w:p>
    <w:p>
      <w:pPr/>
      <w:r>
        <w:rPr>
          <w:b/>
        </w:rPr>
        <w:t xml:space="preserve">Instruments.</w:t>
      </w:r>
    </w:p>
    <w:tbl>
      <w:tblPr>
        <w:tblStyle w:val="TableGrid"/>
        <w:tblW w:w="0" w:type="auto"/>
        <w:tblLayout w:type="fixed"/>
        <w:tblLook w:val="04A0" w:firstRow="1" w:lastRow="0" w:firstColumn="0" w:lastColumn="0" w:noHBand="0" w:noVBand="1"/>
      </w:tblPr>
      <w:tblGrid>
        <w:gridCol w:w="2139"/>
        <w:gridCol w:w="4649"/>
        <w:gridCol w:w="2572"/>
      </w:tblGrid>
      <w:tr>
        <w:trPr>
          <w:tblHeader/>
        </w:trPr>
        <w:tc>
          <w:tcPr>
            <w:tcW w:w="2139" w:type="dxa"/>
            <w:shd w:val="clear" w:color="auto" w:fill="F2F2F2"/>
          </w:tcPr>
          <w:p>
            <w:pPr/>
            <w:r>
              <w:t xml:space="preserve">Construct</w:t>
            </w:r>
          </w:p>
        </w:tc>
        <w:tc>
          <w:tcPr>
            <w:tcW w:w="4649" w:type="dxa"/>
            <w:shd w:val="clear" w:color="auto" w:fill="F2F2F2"/>
          </w:tcPr>
          <w:p>
            <w:pPr/>
            <w:r>
              <w:t xml:space="preserve">Instrument</w:t>
            </w:r>
          </w:p>
        </w:tc>
        <w:tc>
          <w:tcPr>
            <w:tcW w:w="2572" w:type="dxa"/>
            <w:shd w:val="clear" w:color="auto" w:fill="F2F2F2"/>
          </w:tcPr>
          <w:p>
            <w:pPr/>
            <w:r>
              <w:t xml:space="preserve">When</w:t>
            </w:r>
          </w:p>
        </w:tc>
      </w:tr>
      <w:tr>
        <w:tc>
          <w:tcPr>
            <w:tcW w:w="2139" w:type="dxa"/>
          </w:tcPr>
          <w:p>
            <w:pPr/>
            <w:r>
              <w:t xml:space="preserve">Design reasoning (primary)</w:t>
            </w:r>
          </w:p>
        </w:tc>
        <w:tc>
          <w:tcPr>
            <w:tcW w:w="4649" w:type="dxa"/>
          </w:tcPr>
          <w:p>
            <w:pPr/>
            <w:r>
              <w:t xml:space="preserve">FBS protocol coding (Gero and Kannengiesser, 2004)</w:t>
            </w:r>
          </w:p>
        </w:tc>
        <w:tc>
          <w:tcPr>
            <w:tcW w:w="2572" w:type="dxa"/>
          </w:tcPr>
          <w:p>
            <w:pPr/>
            <w:r>
              <w:t xml:space="preserve">Both design tasks</w:t>
            </w:r>
          </w:p>
        </w:tc>
      </w:tr>
      <w:tr>
        <w:tc>
          <w:tcPr>
            <w:tcW w:w="2139" w:type="dxa"/>
          </w:tcPr>
          <w:p>
            <w:pPr/>
            <w:r>
              <w:t xml:space="preserve">Epistemic emotions</w:t>
            </w:r>
          </w:p>
        </w:tc>
        <w:tc>
          <w:tcPr>
            <w:tcW w:w="4649" w:type="dxa"/>
          </w:tcPr>
          <w:p>
            <w:pPr/>
            <w:r>
              <w:t xml:space="preserve">Epistemically Related Emotion Scales (Pekrun et al., 2017)</w:t>
            </w:r>
          </w:p>
        </w:tc>
        <w:tc>
          <w:tcPr>
            <w:tcW w:w="2572" w:type="dxa"/>
          </w:tcPr>
          <w:p>
            <w:pPr/>
            <w:r>
              <w:t xml:space="preserve">After each design task</w:t>
            </w:r>
          </w:p>
        </w:tc>
      </w:tr>
      <w:tr>
        <w:tc>
          <w:tcPr>
            <w:tcW w:w="2139" w:type="dxa"/>
          </w:tcPr>
          <w:p>
            <w:pPr/>
            <w:r>
              <w:t xml:space="preserve">Cognitive load</w:t>
            </w:r>
          </w:p>
        </w:tc>
        <w:tc>
          <w:tcPr>
            <w:tcW w:w="4649" w:type="dxa"/>
          </w:tcPr>
          <w:p>
            <w:pPr/>
            <w:r>
              <w:t xml:space="preserve">Cognitive Load Inventory (Leppink et al., 2013)</w:t>
            </w:r>
          </w:p>
        </w:tc>
        <w:tc>
          <w:tcPr>
            <w:tcW w:w="2572" w:type="dxa"/>
          </w:tcPr>
          <w:p>
            <w:pPr/>
            <w:r>
              <w:t xml:space="preserve">After each design task</w:t>
            </w:r>
          </w:p>
        </w:tc>
      </w:tr>
      <w:tr>
        <w:tc>
          <w:tcPr>
            <w:tcW w:w="2139" w:type="dxa"/>
          </w:tcPr>
          <w:p>
            <w:pPr/>
            <w:r>
              <w:t xml:space="preserve">Creativity support</w:t>
            </w:r>
          </w:p>
        </w:tc>
        <w:tc>
          <w:tcPr>
            <w:tcW w:w="4649" w:type="dxa"/>
          </w:tcPr>
          <w:p>
            <w:pPr/>
            <w:r>
              <w:t xml:space="preserve">Creativity Support Index (Cherry and Latulipe, 2014)</w:t>
            </w:r>
          </w:p>
        </w:tc>
        <w:tc>
          <w:tcPr>
            <w:tcW w:w="2572" w:type="dxa"/>
          </w:tcPr>
          <w:p>
            <w:pPr/>
            <w:r>
              <w:t xml:space="preserve">After the AI task</w:t>
            </w:r>
          </w:p>
        </w:tc>
      </w:tr>
      <w:tr>
        <w:tc>
          <w:tcPr>
            <w:tcW w:w="2139" w:type="dxa"/>
          </w:tcPr>
          <w:p>
            <w:pPr/>
            <w:r>
              <w:t xml:space="preserve">Outcome creativity (secondary)</w:t>
            </w:r>
          </w:p>
        </w:tc>
        <w:tc>
          <w:tcPr>
            <w:tcW w:w="4649" w:type="dxa"/>
          </w:tcPr>
          <w:p>
            <w:pPr/>
            <w:r>
              <w:t xml:space="preserve">Revised Creative Solution Diagnosis Scale (Cropley and Kaufman, 2012)</w:t>
            </w:r>
          </w:p>
        </w:tc>
        <w:tc>
          <w:tcPr>
            <w:tcW w:w="2572" w:type="dxa"/>
          </w:tcPr>
          <w:p>
            <w:pPr/>
            <w:r>
              <w:t xml:space="preserve">Expert judges</w:t>
            </w:r>
          </w:p>
        </w:tc>
      </w:tr>
      <w:tr>
        <w:tc>
          <w:tcPr>
            <w:tcW w:w="2139" w:type="dxa"/>
          </w:tcPr>
          <w:p>
            <w:pPr/>
            <w:r>
              <w:t xml:space="preserve">Creative self efficacy (covariate)</w:t>
            </w:r>
          </w:p>
        </w:tc>
        <w:tc>
          <w:tcPr>
            <w:tcW w:w="4649" w:type="dxa"/>
          </w:tcPr>
          <w:p>
            <w:pPr/>
            <w:r>
              <w:t xml:space="preserve">Short Scale of Creative Self (Karwowski et al., 2018)</w:t>
            </w:r>
          </w:p>
        </w:tc>
        <w:tc>
          <w:tcPr>
            <w:tcW w:w="2572" w:type="dxa"/>
          </w:tcPr>
          <w:p>
            <w:pPr/>
            <w:r>
              <w:t xml:space="preserve">Visit 1</w:t>
            </w:r>
          </w:p>
        </w:tc>
      </w:tr>
      <w:tr>
        <w:tc>
          <w:tcPr>
            <w:tcW w:w="2139" w:type="dxa"/>
          </w:tcPr>
          <w:p>
            <w:pPr/>
            <w:r>
              <w:t xml:space="preserve">AI literacy (covariate)</w:t>
            </w:r>
          </w:p>
        </w:tc>
        <w:tc>
          <w:tcPr>
            <w:tcW w:w="4649" w:type="dxa"/>
          </w:tcPr>
          <w:p>
            <w:pPr/>
            <w:r>
              <w:t xml:space="preserve">AI Literacy Scale for Design Students (Gu et al., 2026)</w:t>
            </w:r>
          </w:p>
        </w:tc>
        <w:tc>
          <w:tcPr>
            <w:tcW w:w="2572" w:type="dxa"/>
          </w:tcPr>
          <w:p>
            <w:pPr/>
            <w:r>
              <w:t xml:space="preserve">Visit 1</w:t>
            </w:r>
          </w:p>
        </w:tc>
      </w:tr>
    </w:tbl>
    <w:p>
      <w:pPr/>
      <w:r>
        <w:rPr>
          <w:b/>
        </w:rPr>
        <w:t xml:space="preserve">Analysis.</w:t>
      </w:r>
      <w:r>
        <w:t xml:space="preserve"> Paired comparisons using Wilcoxon signed rank tests with effect sizes, supported by Bayesian paired estimation. FBS process frequencies are compared across conditions, with a second coder on 15% of segments (Cohen's kappa). Agreement between judges is reported as an intraclass correlation. Interviews are analysed thematically and integrated with the quantitative results.</w:t>
      </w:r>
    </w:p>
    <w:p>
      <w:pPr>
        <w:pStyle w:val="Heading2"/>
      </w:pPr>
      <w:r>
        <w:t xml:space="preserve">Ethics</w:t>
      </w:r>
    </w:p>
    <w:p>
      <w:pPr/>
      <w:r>
        <w:t xml:space="preserve">Faculty Research Ethics Committee approval will be sought before recruitment. As participants may be the PI's own students, recruitment and consent will be handled by the research support officer, and participation will be kept separate from assessment. Data will be pseudonymised and stored in line with GDPR.</w:t>
      </w:r>
    </w:p>
    <w:p>
      <w:pPr>
        <w:pStyle w:val="Heading2"/>
      </w:pPr>
      <w:r>
        <w:t xml:space="preserve">Outputs and implications</w:t>
      </w:r>
    </w:p>
    <w:tbl>
      <w:tblPr>
        <w:tblStyle w:val="TableGrid"/>
        <w:tblW w:w="0" w:type="auto"/>
        <w:tblLayout w:type="fixed"/>
        <w:tblLook w:val="04A0" w:firstRow="1" w:lastRow="0" w:firstColumn="0" w:lastColumn="0" w:noHBand="0" w:noVBand="1"/>
      </w:tblPr>
      <w:tblGrid>
        <w:gridCol w:w="1027"/>
        <w:gridCol w:w="3413"/>
        <w:gridCol w:w="4920"/>
      </w:tblGrid>
      <w:tr>
        <w:trPr>
          <w:tblHeader/>
        </w:trPr>
        <w:tc>
          <w:tcPr>
            <w:tcW w:w="1027" w:type="dxa"/>
            <w:shd w:val="clear" w:color="auto" w:fill="F2F2F2"/>
          </w:tcPr>
          <w:p>
            <w:pPr/>
            <w:r>
              <w:t xml:space="preserve">Output</w:t>
            </w:r>
          </w:p>
        </w:tc>
        <w:tc>
          <w:tcPr>
            <w:tcW w:w="3413" w:type="dxa"/>
            <w:shd w:val="clear" w:color="auto" w:fill="F2F2F2"/>
          </w:tcPr>
          <w:p>
            <w:pPr/>
            <w:r>
              <w:t xml:space="preserve">Focus</w:t>
            </w:r>
          </w:p>
        </w:tc>
        <w:tc>
          <w:tcPr>
            <w:tcW w:w="4920" w:type="dxa"/>
            <w:shd w:val="clear" w:color="auto" w:fill="F2F2F2"/>
          </w:tcPr>
          <w:p>
            <w:pPr/>
            <w:r>
              <w:t xml:space="preserve">Target journals</w:t>
            </w:r>
          </w:p>
        </w:tc>
      </w:tr>
      <w:tr>
        <w:tc>
          <w:tcPr>
            <w:tcW w:w="1027" w:type="dxa"/>
          </w:tcPr>
          <w:p>
            <w:pPr/>
            <w:r>
              <w:t xml:space="preserve">Paper 1</w:t>
            </w:r>
          </w:p>
        </w:tc>
        <w:tc>
          <w:tcPr>
            <w:tcW w:w="3413" w:type="dxa"/>
          </w:tcPr>
          <w:p>
            <w:pPr/>
            <w:r>
              <w:t xml:space="preserve">Design reasoning and outcome creativity</w:t>
            </w:r>
          </w:p>
        </w:tc>
        <w:tc>
          <w:tcPr>
            <w:tcW w:w="4920" w:type="dxa"/>
          </w:tcPr>
          <w:p>
            <w:pPr/>
            <w:r>
              <w:t xml:space="preserve">International Journal of Technology and Design Education; Design Studies</w:t>
            </w:r>
          </w:p>
        </w:tc>
      </w:tr>
      <w:tr>
        <w:tc>
          <w:tcPr>
            <w:tcW w:w="1027" w:type="dxa"/>
          </w:tcPr>
          <w:p>
            <w:pPr/>
            <w:r>
              <w:t xml:space="preserve">Paper 2</w:t>
            </w:r>
          </w:p>
        </w:tc>
        <w:tc>
          <w:tcPr>
            <w:tcW w:w="3413" w:type="dxa"/>
          </w:tcPr>
          <w:p>
            <w:pPr/>
            <w:r>
              <w:t xml:space="preserve">Cognitive load, epistemic emotions and creativity support</w:t>
            </w:r>
          </w:p>
        </w:tc>
        <w:tc>
          <w:tcPr>
            <w:tcW w:w="4920" w:type="dxa"/>
          </w:tcPr>
          <w:p>
            <w:pPr/>
            <w:r>
              <w:t xml:space="preserve">British Journal of Educational Technology; Computers and Education: Artificial Intelligence</w:t>
            </w:r>
          </w:p>
        </w:tc>
      </w:tr>
    </w:tbl>
    <w:p>
      <w:pPr/>
      <w:r>
        <w:t xml:space="preserve">For design education, the findings will inform:</w:t>
      </w:r>
    </w:p>
    <w:p>
      <w:pPr>
        <w:pStyle w:val="ListParagraph"/>
        <w:numPr>
          <w:ilvl w:val="0"/>
          <w:numId w:val="4"/>
        </w:numPr>
      </w:pPr>
      <w:r>
        <w:t xml:space="preserve">when to introduce AI in the design process, for example after independent ideation;</w:t>
      </w:r>
    </w:p>
    <w:p>
      <w:pPr>
        <w:pStyle w:val="ListParagraph"/>
        <w:numPr>
          <w:ilvl w:val="0"/>
          <w:numId w:val="4"/>
        </w:numPr>
      </w:pPr>
      <w:r>
        <w:t xml:space="preserve">how to assess design capability through process evidence rather than outcomes alone;</w:t>
      </w:r>
    </w:p>
    <w:p>
      <w:pPr>
        <w:pStyle w:val="ListParagraph"/>
        <w:numPr>
          <w:ilvl w:val="0"/>
          <w:numId w:val="4"/>
        </w:numPr>
      </w:pPr>
      <w:r>
        <w:t xml:space="preserve">the tutor's role in helping students question and reframe AI suggestions;</w:t>
      </w:r>
    </w:p>
    <w:p>
      <w:pPr>
        <w:pStyle w:val="ListParagraph"/>
        <w:numPr>
          <w:ilvl w:val="0"/>
          <w:numId w:val="4"/>
        </w:numPr>
      </w:pPr>
      <w:r>
        <w:t xml:space="preserve">discipline specific AI literacy for designers (Stolpe et al., 2026).</w:t>
      </w:r>
    </w:p>
    <w:p>
      <w:pPr>
        <w:pStyle w:val="Heading2"/>
      </w:pPr>
      <w:r>
        <w:t xml:space="preserve">Timeline</w:t>
      </w:r>
    </w:p>
    <w:p>
      <w:pPr/>
      <w:r>
        <w:drawing>
          <wp:inline distT="0" distB="0" distL="0" distR="0">
            <wp:extent cx="5486400" cy="1812471"/>
            <wp:docPr id="1" name="image1" descr="12 month plan · 4 phases, 1 gate"/>
            <a:graphic xmlns:a="http://schemas.openxmlformats.org/drawingml/2006/main">
              <a:graphicData uri="http://schemas.openxmlformats.org/drawingml/2006/picture">
                <pic:pic xmlns:pic="http://schemas.openxmlformats.org/drawingml/2006/picture">
                  <pic:nvPicPr>
                    <pic:cNvPr id="1" name="image1" descr="12 month plan · 4 phases, 1 gate"/>
                    <pic:cNvPicPr/>
                  </pic:nvPicPr>
                  <pic:blipFill>
                    <a:blip r:embed="rId3"/>
                    <a:stretch>
                      <a:fillRect/>
                    </a:stretch>
                  </pic:blipFill>
                  <pic:spPr>
                    <a:xfrm>
                      <a:off x="0" y="0"/>
                      <a:ext cx="5486400" cy="1812471"/>
                    </a:xfrm>
                    <a:prstGeom prst="rect">
                      <a:avLst/>
                    </a:prstGeom>
                  </pic:spPr>
                </pic:pic>
              </a:graphicData>
            </a:graphic>
          </wp:inline>
        </w:drawing>
      </w:r>
    </w:p>
    <w:p>
      <w:pPr/>
      <w:r>
        <w:t xml:space="preserve">12 month plan · 4 phases, 1 gate</w:t>
      </w:r>
    </w:p>
    <w:p>
      <w:pPr/>
      <w:r>
        <w:t xml:space="preserve">Data collection should fall within a teaching semester, so the start month will be set to align months 4 to 6 with teaching time.</w:t>
      </w:r>
    </w:p>
    <w:p>
      <w:pPr>
        <w:pStyle w:val="Heading2"/>
      </w:pPr>
      <w:r>
        <w:t xml:space="preserve">Budget</w:t>
      </w:r>
    </w:p>
    <w:tbl>
      <w:tblPr>
        <w:tblStyle w:val="TableGrid"/>
        <w:tblW w:w="0" w:type="auto"/>
        <w:tblLayout w:type="fixed"/>
        <w:tblLook w:val="04A0" w:firstRow="1" w:lastRow="0" w:firstColumn="0" w:lastColumn="0" w:noHBand="0" w:noVBand="1"/>
      </w:tblPr>
      <w:tblGrid>
        <w:gridCol w:w="6715"/>
        <w:gridCol w:w="1131"/>
        <w:gridCol w:w="1512"/>
      </w:tblGrid>
      <w:tr>
        <w:trPr>
          <w:tblHeader/>
        </w:trPr>
        <w:tc>
          <w:tcPr>
            <w:tcW w:w="6715" w:type="dxa"/>
            <w:shd w:val="clear" w:color="auto" w:fill="F2F2F2"/>
          </w:tcPr>
          <w:p>
            <w:pPr/>
            <w:r>
              <w:t xml:space="preserve">Item</w:t>
            </w:r>
          </w:p>
        </w:tc>
        <w:tc>
          <w:tcPr>
            <w:tcW w:w="1131" w:type="dxa"/>
            <w:shd w:val="clear" w:color="auto" w:fill="F2F2F2"/>
          </w:tcPr>
          <w:p>
            <w:pPr/>
            <w:r>
              <w:t xml:space="preserve">Hours</w:t>
            </w:r>
          </w:p>
        </w:tc>
        <w:tc>
          <w:tcPr>
            <w:tcW w:w="1512" w:type="dxa"/>
            <w:shd w:val="clear" w:color="auto" w:fill="F2F2F2"/>
          </w:tcPr>
          <w:p>
            <w:pPr/>
            <w:r>
              <w:t xml:space="preserve">EUR</w:t>
            </w:r>
          </w:p>
        </w:tc>
      </w:tr>
      <w:tr>
        <w:tc>
          <w:tcPr>
            <w:tcW w:w="6715" w:type="dxa"/>
          </w:tcPr>
          <w:p>
            <w:pPr/>
            <w:r>
              <w:t xml:space="preserve">Transcription of protocols and interviews for 15 participants (automated, human corrected)</w:t>
            </w:r>
          </w:p>
        </w:tc>
        <w:tc>
          <w:tcPr>
            <w:tcW w:w="1131" w:type="dxa"/>
          </w:tcPr>
          <w:p>
            <w:pPr/>
            <w:r>
              <w:t xml:space="preserve">55</w:t>
            </w:r>
          </w:p>
        </w:tc>
        <w:tc>
          <w:tcPr>
            <w:tcW w:w="1512" w:type="dxa"/>
          </w:tcPr>
          <w:p>
            <w:pPr/>
            <w:r>
              <w:t xml:space="preserve">1,106.05</w:t>
            </w:r>
          </w:p>
        </w:tc>
      </w:tr>
      <w:tr>
        <w:tc>
          <w:tcPr>
            <w:tcW w:w="6715" w:type="dxa"/>
          </w:tcPr>
          <w:p>
            <w:pPr/>
            <w:r>
              <w:t xml:space="preserve">Second coding (15% of segments) and training</w:t>
            </w:r>
          </w:p>
        </w:tc>
        <w:tc>
          <w:tcPr>
            <w:tcW w:w="1131" w:type="dxa"/>
          </w:tcPr>
          <w:p>
            <w:pPr/>
            <w:r>
              <w:t xml:space="preserve">28</w:t>
            </w:r>
          </w:p>
        </w:tc>
        <w:tc>
          <w:tcPr>
            <w:tcW w:w="1512" w:type="dxa"/>
          </w:tcPr>
          <w:p>
            <w:pPr/>
            <w:r>
              <w:t xml:space="preserve">563.08</w:t>
            </w:r>
          </w:p>
        </w:tc>
      </w:tr>
      <w:tr>
        <w:tc>
          <w:tcPr>
            <w:tcW w:w="6715" w:type="dxa"/>
          </w:tcPr>
          <w:p>
            <w:pPr/>
            <w:r>
              <w:t xml:space="preserve">Statistical consultancy</w:t>
            </w:r>
          </w:p>
        </w:tc>
        <w:tc>
          <w:tcPr>
            <w:tcW w:w="1131" w:type="dxa"/>
          </w:tcPr>
          <w:p>
            <w:pPr/>
            <w:r>
              <w:t xml:space="preserve">12</w:t>
            </w:r>
          </w:p>
        </w:tc>
        <w:tc>
          <w:tcPr>
            <w:tcW w:w="1512" w:type="dxa"/>
          </w:tcPr>
          <w:p>
            <w:pPr/>
            <w:r>
              <w:t xml:space="preserve">241.32</w:t>
            </w:r>
          </w:p>
        </w:tc>
      </w:tr>
      <w:tr>
        <w:tc>
          <w:tcPr>
            <w:tcW w:w="6715" w:type="dxa"/>
          </w:tcPr>
          <w:p>
            <w:pPr/>
            <w:r>
              <w:t xml:space="preserve">Recruitment, consent and scheduling</w:t>
            </w:r>
          </w:p>
        </w:tc>
        <w:tc>
          <w:tcPr>
            <w:tcW w:w="1131" w:type="dxa"/>
          </w:tcPr>
          <w:p>
            <w:pPr/>
            <w:r>
              <w:t xml:space="preserve">10</w:t>
            </w:r>
          </w:p>
        </w:tc>
        <w:tc>
          <w:tcPr>
            <w:tcW w:w="1512" w:type="dxa"/>
          </w:tcPr>
          <w:p>
            <w:pPr/>
            <w:r>
              <w:t xml:space="preserve">201.10</w:t>
            </w:r>
          </w:p>
        </w:tc>
      </w:tr>
      <w:tr>
        <w:tc>
          <w:tcPr>
            <w:tcW w:w="6715" w:type="dxa"/>
          </w:tcPr>
          <w:p>
            <w:pPr/>
            <w:r>
              <w:t xml:space="preserve">Contingency</w:t>
            </w:r>
          </w:p>
        </w:tc>
        <w:tc>
          <w:tcPr>
            <w:tcW w:w="1131" w:type="dxa"/>
          </w:tcPr>
          <w:p>
            <w:pPr/>
            <w:r>
              <w:t xml:space="preserve">5</w:t>
            </w:r>
          </w:p>
        </w:tc>
        <w:tc>
          <w:tcPr>
            <w:tcW w:w="1512" w:type="dxa"/>
          </w:tcPr>
          <w:p>
            <w:pPr/>
            <w:r>
              <w:t xml:space="preserve">100.55</w:t>
            </w:r>
          </w:p>
        </w:tc>
      </w:tr>
      <w:tr>
        <w:tc>
          <w:tcPr>
            <w:tcW w:w="6715" w:type="dxa"/>
          </w:tcPr>
          <w:p>
            <w:pPr/>
            <w:r>
              <w:rPr>
                <w:b/>
              </w:rPr>
              <w:t xml:space="preserve">Total</w:t>
            </w:r>
          </w:p>
        </w:tc>
        <w:tc>
          <w:tcPr>
            <w:tcW w:w="1131" w:type="dxa"/>
          </w:tcPr>
          <w:p>
            <w:pPr/>
            <w:r>
              <w:rPr>
                <w:b/>
              </w:rPr>
              <w:t xml:space="preserve">110</w:t>
            </w:r>
          </w:p>
        </w:tc>
        <w:tc>
          <w:tcPr>
            <w:tcW w:w="1512" w:type="dxa"/>
          </w:tcPr>
          <w:p>
            <w:pPr/>
            <w:r>
              <w:rPr>
                <w:b/>
              </w:rPr>
              <w:t xml:space="preserve">2,212.10</w:t>
            </w:r>
          </w:p>
        </w:tc>
      </w:tr>
    </w:tbl>
    <w:p>
      <w:pPr/>
      <w:r>
        <w:t xml:space="preserve">Transcription covers about 27 hours of audio: 20 hours of think aloud protocols and 7.5 hours of interviews. Research support averages about 9 hours a month, concentrated in months 4 to 9. The total exceeds the EUR 2,000 allocation by EUR 212.10, so either a top up or a reduction to 99 hours is needed. Investigator time is estimated at about 500 hours, mainly for running up to 60 sessions and FBS coding of about 20 hours of protocol. Expert judges need about 3 hours each for 15 participants, rising to about 6 hours at 30.</w:t>
      </w:r>
    </w:p>
    <w:p>
      <w:pPr>
        <w:pStyle w:val="Heading2"/>
      </w:pPr>
      <w:r>
        <w:t xml:space="preserve">Risks</w:t>
      </w:r>
    </w:p>
    <w:tbl>
      <w:tblPr>
        <w:tblStyle w:val="TableGrid"/>
        <w:tblW w:w="0" w:type="auto"/>
        <w:tblLayout w:type="fixed"/>
        <w:tblLook w:val="04A0" w:firstRow="1" w:lastRow="0" w:firstColumn="0" w:lastColumn="0" w:noHBand="0" w:noVBand="1"/>
      </w:tblPr>
      <w:tblGrid>
        <w:gridCol w:w="4419"/>
        <w:gridCol w:w="4940"/>
      </w:tblGrid>
      <w:tr>
        <w:trPr>
          <w:tblHeader/>
        </w:trPr>
        <w:tc>
          <w:tcPr>
            <w:tcW w:w="4419" w:type="dxa"/>
            <w:shd w:val="clear" w:color="auto" w:fill="F2F2F2"/>
          </w:tcPr>
          <w:p>
            <w:pPr/>
            <w:r>
              <w:t xml:space="preserve">Risk</w:t>
            </w:r>
          </w:p>
        </w:tc>
        <w:tc>
          <w:tcPr>
            <w:tcW w:w="4940" w:type="dxa"/>
            <w:shd w:val="clear" w:color="auto" w:fill="F2F2F2"/>
          </w:tcPr>
          <w:p>
            <w:pPr/>
            <w:r>
              <w:t xml:space="preserve">Mitigation</w:t>
            </w:r>
          </w:p>
        </w:tc>
      </w:tr>
      <w:tr>
        <w:tc>
          <w:tcPr>
            <w:tcW w:w="4419" w:type="dxa"/>
          </w:tcPr>
          <w:p>
            <w:pPr/>
            <w:r>
              <w:t xml:space="preserve">Overlap with outcome studies</w:t>
            </w:r>
          </w:p>
        </w:tc>
        <w:tc>
          <w:tcPr>
            <w:tcW w:w="4940" w:type="dxa"/>
          </w:tcPr>
          <w:p>
            <w:pPr/>
            <w:r>
              <w:t xml:space="preserve">Outcome comparison treated as secondary</w:t>
            </w:r>
          </w:p>
        </w:tc>
      </w:tr>
      <w:tr>
        <w:tc>
          <w:tcPr>
            <w:tcW w:w="4419" w:type="dxa"/>
          </w:tcPr>
          <w:p>
            <w:pPr/>
            <w:r>
              <w:t xml:space="preserve">Small sample</w:t>
            </w:r>
          </w:p>
        </w:tc>
        <w:tc>
          <w:tcPr>
            <w:tcW w:w="4940" w:type="dxa"/>
          </w:tcPr>
          <w:p>
            <w:pPr/>
            <w:r>
              <w:t xml:space="preserve">Within subjects design, effect sizes, Bayesian estimation; analytic rather than statistical generalisation</w:t>
            </w:r>
          </w:p>
        </w:tc>
      </w:tr>
      <w:tr>
        <w:tc>
          <w:tcPr>
            <w:tcW w:w="4419" w:type="dxa"/>
          </w:tcPr>
          <w:p>
            <w:pPr/>
            <w:r>
              <w:t xml:space="preserve">More volunteers than can be transcribed</w:t>
            </w:r>
          </w:p>
        </w:tc>
        <w:tc>
          <w:tcPr>
            <w:tcW w:w="4940" w:type="dxa"/>
          </w:tcPr>
          <w:p>
            <w:pPr/>
            <w:r>
              <w:t xml:space="preserve">Full procedure for all; transcription, coding and interviews limited to a balanced subsample of 15</w:t>
            </w:r>
          </w:p>
        </w:tc>
      </w:tr>
      <w:tr>
        <w:tc>
          <w:tcPr>
            <w:tcW w:w="4419" w:type="dxa"/>
          </w:tcPr>
          <w:p>
            <w:pPr/>
            <w:r>
              <w:t xml:space="preserve">Briefs not equivalent</w:t>
            </w:r>
          </w:p>
        </w:tc>
        <w:tc>
          <w:tcPr>
            <w:tcW w:w="4940" w:type="dxa"/>
          </w:tcPr>
          <w:p>
            <w:pPr/>
            <w:r>
              <w:t xml:space="preserve">Piloting and counterbalancing</w:t>
            </w:r>
          </w:p>
        </w:tc>
      </w:tr>
      <w:tr>
        <w:tc>
          <w:tcPr>
            <w:tcW w:w="4419" w:type="dxa"/>
          </w:tcPr>
          <w:p>
            <w:pPr/>
            <w:r>
              <w:t xml:space="preserve">Think aloud or carryover effects</w:t>
            </w:r>
          </w:p>
        </w:tc>
        <w:tc>
          <w:tcPr>
            <w:tcW w:w="4940" w:type="dxa"/>
          </w:tcPr>
          <w:p>
            <w:pPr/>
            <w:r>
              <w:t xml:space="preserve">Warm up task; sessions at least one week apart</w:t>
            </w:r>
          </w:p>
        </w:tc>
      </w:tr>
    </w:tbl>
    <w:p>
      <w:pPr>
        <w:pStyle w:val="Heading2"/>
      </w:pPr>
      <w:r>
        <w:t xml:space="preserve">References</w:t>
      </w:r>
    </w:p>
    <w:p>
      <w:pPr/>
      <w:r>
        <w:t xml:space="preserve">Cherry, E., &amp; Latulipe, C. (2014). Quantifying the creativity support of digital tools through the Creativity Support Index. </w:t>
      </w:r>
      <w:r>
        <w:rPr>
          <w:i/>
        </w:rPr>
        <w:t xml:space="preserve">ACM Transactions on Computer-Human Interaction</w:t>
      </w:r>
      <w:r>
        <w:t xml:space="preserve">, 21(4), Article 21.</w:t>
      </w:r>
    </w:p>
    <w:p>
      <w:pPr/>
      <w:r>
        <w:t xml:space="preserve">Chiang, S.-B. (2026). Effectiveness of generative AI in higher education design pedagogy: A meta-analysis of usage modes. </w:t>
      </w:r>
      <w:r>
        <w:rPr>
          <w:i/>
        </w:rPr>
        <w:t xml:space="preserve">International Journal of Technology and Design Education</w:t>
      </w:r>
      <w:r>
        <w:t xml:space="preserve">. </w:t>
      </w:r>
      <w:hyperlink r:id="rId4" w:history="1">
        <w:r>
          <w:rPr>
            <w:rStyle w:val="Hyperlink"/>
          </w:rPr>
          <w:t xml:space="preserve">https://doi.org/10.1007/s10798-026-10122-6</w:t>
        </w:r>
      </w:hyperlink>
    </w:p>
    <w:p>
      <w:pPr/>
      <w:r>
        <w:t xml:space="preserve">Cropley, D. H., &amp; Kaufman, J. C. (2012). Measuring functional creativity: Non-expert raters and the Creative Solution Diagnosis Scale. </w:t>
      </w:r>
      <w:r>
        <w:rPr>
          <w:i/>
        </w:rPr>
        <w:t xml:space="preserve">Journal of Creative Behavior</w:t>
      </w:r>
      <w:r>
        <w:t xml:space="preserve">, 46(2), 119-137.</w:t>
      </w:r>
    </w:p>
    <w:p>
      <w:pPr/>
      <w:r>
        <w:t xml:space="preserve">Cropley, D. H., Kaufman, J. C., &amp; Cropley, A. J. (2011). Measuring creativity for innovation management. </w:t>
      </w:r>
      <w:r>
        <w:rPr>
          <w:i/>
        </w:rPr>
        <w:t xml:space="preserve">Journal of Technology Management and Innovation</w:t>
      </w:r>
      <w:r>
        <w:t xml:space="preserve">, 6(3), 13-30. </w:t>
      </w:r>
      <w:hyperlink r:id="rId5" w:history="1">
        <w:r>
          <w:rPr>
            <w:rStyle w:val="Hyperlink"/>
          </w:rPr>
          <w:t xml:space="preserve">https://doi.org/10.4067/S0718-27242011000300002</w:t>
        </w:r>
      </w:hyperlink>
    </w:p>
    <w:p>
      <w:pPr/>
      <w:r>
        <w:t xml:space="preserve">Georgieva, I., &amp; Georgiev, G. V. (2025). Exploring the use of generative text AI in design creativity inquiries. </w:t>
      </w:r>
      <w:r>
        <w:rPr>
          <w:i/>
        </w:rPr>
        <w:t xml:space="preserve">Computers in Human Behavior: Artificial Humans</w:t>
      </w:r>
      <w:r>
        <w:t xml:space="preserve">, 6, 100219. </w:t>
      </w:r>
      <w:hyperlink r:id="rId6" w:history="1">
        <w:r>
          <w:rPr>
            <w:rStyle w:val="Hyperlink"/>
          </w:rPr>
          <w:t xml:space="preserve">https://doi.org/10.1016/j.chbah.2025.100219</w:t>
        </w:r>
      </w:hyperlink>
    </w:p>
    <w:p>
      <w:pPr/>
      <w:r>
        <w:t xml:space="preserve">Gero, J. S., &amp; Kannengiesser, U. (2004). The situated function-behaviour-structure framework. </w:t>
      </w:r>
      <w:r>
        <w:rPr>
          <w:i/>
        </w:rPr>
        <w:t xml:space="preserve">Design Studies</w:t>
      </w:r>
      <w:r>
        <w:t xml:space="preserve">, 25(4), 373-391.</w:t>
      </w:r>
    </w:p>
    <w:p>
      <w:pPr/>
      <w:r>
        <w:t xml:space="preserve">Gu, L., Gao, X., Li, R., Liu, Z., &amp; Li, Y. (2026). Measuring AI literacy in design education: Development and validation of the artificial intelligence literacy scale for design students. </w:t>
      </w:r>
      <w:r>
        <w:rPr>
          <w:i/>
        </w:rPr>
        <w:t xml:space="preserve">International Journal of Technology and Design Education</w:t>
      </w:r>
      <w:r>
        <w:t xml:space="preserve">. </w:t>
      </w:r>
      <w:hyperlink r:id="rId7" w:history="1">
        <w:r>
          <w:rPr>
            <w:rStyle w:val="Hyperlink"/>
          </w:rPr>
          <w:t xml:space="preserve">https://doi.org/10.1007/s10798-026-10128-0</w:t>
        </w:r>
      </w:hyperlink>
    </w:p>
    <w:p>
      <w:pPr/>
      <w:r>
        <w:t xml:space="preserve">Jansson, D. G., &amp; Smith, S. M. (1991). Design fixation. </w:t>
      </w:r>
      <w:r>
        <w:rPr>
          <w:i/>
        </w:rPr>
        <w:t xml:space="preserve">Design Studies</w:t>
      </w:r>
      <w:r>
        <w:t xml:space="preserve">, 12(1), 3-11.</w:t>
      </w:r>
    </w:p>
    <w:p>
      <w:pPr/>
      <w:r>
        <w:t xml:space="preserve">Karwowski, M., Lebuda, I., &amp; Wiśniewska, E. (2018). Measuring creative self-efficacy and creative personal identity. </w:t>
      </w:r>
      <w:r>
        <w:rPr>
          <w:i/>
        </w:rPr>
        <w:t xml:space="preserve">International Journal of Creativity and Problem Solving</w:t>
      </w:r>
      <w:r>
        <w:t xml:space="preserve">, 28(1), 45-57.</w:t>
      </w:r>
    </w:p>
    <w:p>
      <w:pPr/>
      <w:r>
        <w:t xml:space="preserve">Leppink, J., Paas, F., Van der Vleuten, C. P. M., Van Gog, T., &amp; Van Merriënboer, J. J. G. (2013). Development of an instrument for measuring different types of cognitive load. </w:t>
      </w:r>
      <w:r>
        <w:rPr>
          <w:i/>
        </w:rPr>
        <w:t xml:space="preserve">Behavior Research Methods</w:t>
      </w:r>
      <w:r>
        <w:t xml:space="preserve">, 45(4), 1058-1072.</w:t>
      </w:r>
    </w:p>
    <w:p>
      <w:pPr/>
      <w:r>
        <w:t xml:space="preserve">Liu, H., Zhang, X., Zhou, J., Shou, Y., Yin, Y., &amp; Chai, C. (2024). Cognitive styles and design performances in conceptual design collaboration with GenAI. </w:t>
      </w:r>
      <w:r>
        <w:rPr>
          <w:i/>
        </w:rPr>
        <w:t xml:space="preserve">International Journal of Technology and Design Education</w:t>
      </w:r>
      <w:r>
        <w:t xml:space="preserve">.</w:t>
      </w:r>
    </w:p>
    <w:p>
      <w:pPr/>
      <w:r>
        <w:t xml:space="preserve">Pekrun, R. (2006). The control-value theory of achievement emotions. </w:t>
      </w:r>
      <w:r>
        <w:rPr>
          <w:i/>
        </w:rPr>
        <w:t xml:space="preserve">Educational Psychology Review</w:t>
      </w:r>
      <w:r>
        <w:t xml:space="preserve">, 18(4), 315-341.</w:t>
      </w:r>
    </w:p>
    <w:p>
      <w:pPr/>
      <w:r>
        <w:t xml:space="preserve">Pekrun, R., Vogl, E., Muis, K. R., &amp; Sinatra, G. M. (2017). Measuring emotions during epistemic activities: The Epistemically-Related Emotion Scales. </w:t>
      </w:r>
      <w:r>
        <w:rPr>
          <w:i/>
        </w:rPr>
        <w:t xml:space="preserve">Cognition and Emotion</w:t>
      </w:r>
      <w:r>
        <w:t xml:space="preserve">, 31(6), 1268-1276.</w:t>
      </w:r>
    </w:p>
    <w:p>
      <w:pPr/>
      <w:r>
        <w:t xml:space="preserve">Schut, A., Quanjer, A.-J., van Leeuwen, J., &amp; Detweiler, C. (n.d.). How do design students use ChatGPT when ideating? </w:t>
      </w:r>
      <w:r>
        <w:rPr>
          <w:i/>
        </w:rPr>
        <w:t xml:space="preserve">PATT Conference Proceedings</w:t>
      </w:r>
      <w:r>
        <w:t xml:space="preserve">. Linköping University Electronic Press. </w:t>
      </w:r>
      <w:hyperlink r:id="rId8" w:history="1">
        <w:r>
          <w:rPr>
            <w:rStyle w:val="Hyperlink"/>
          </w:rPr>
          <w:t xml:space="preserve">https://ecp.ep.liu.se/index.php/patt/article/view/1477</w:t>
        </w:r>
      </w:hyperlink>
    </w:p>
    <w:p>
      <w:pPr/>
      <w:r>
        <w:t xml:space="preserve">Stolpe, K., Larsson, A., &amp; Johansson Falck, M. (2026). Discipline-Specific AI literacy (DiSAIL): A theoretical framework for situated engagement with generative AI in education. </w:t>
      </w:r>
      <w:r>
        <w:rPr>
          <w:i/>
        </w:rPr>
        <w:t xml:space="preserve">International Journal of Technology and Design Education</w:t>
      </w:r>
      <w:r>
        <w:t xml:space="preserve">.</w:t>
      </w:r>
    </w:p>
    <w:p>
      <w:pPr/>
      <w:r>
        <w:t xml:space="preserve">Wadinambiarachchi, S., Kelly, R. M., Pareek, S., Zhou, Q., &amp; Velloso, E. (2024). The effects of generative AI on design fixation and divergent thinking. In </w:t>
      </w:r>
      <w:r>
        <w:rPr>
          <w:i/>
        </w:rPr>
        <w:t xml:space="preserve">Proceedings of the CHI Conference on Human Factors in Computing Systems (CHI '24)</w:t>
      </w:r>
      <w:r>
        <w:t xml:space="preserve">. ACM. </w:t>
      </w:r>
      <w:hyperlink r:id="rId9" w:history="1">
        <w:r>
          <w:rPr>
            <w:rStyle w:val="Hyperlink"/>
          </w:rPr>
          <w:t xml:space="preserve">https://doi.org/10.1145/3613904.3642919</w:t>
        </w:r>
      </w:hyperlink>
    </w:p>
    <w:p>
      <w:pPr/>
      <w:r>
        <w:rPr>
          <w:i/>
        </w:rPr>
        <w:t xml:space="preserve">Entries marked † need author details completing. Bibliographic details should be verified against the original sources before submission.</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hyperlink" Target="https://doi.org/10.1007/s10798-026-10122-6" TargetMode="External"/><Relationship Id="rId5" Type="http://schemas.openxmlformats.org/officeDocument/2006/relationships/hyperlink" Target="https://doi.org/10.4067/S0718-27242011000300002" TargetMode="External"/><Relationship Id="rId6" Type="http://schemas.openxmlformats.org/officeDocument/2006/relationships/hyperlink" Target="https://doi.org/10.1016/j.chbah.2025.100219" TargetMode="External"/><Relationship Id="rId7" Type="http://schemas.openxmlformats.org/officeDocument/2006/relationships/hyperlink" Target="https://doi.org/10.1007/s10798-026-10128-0" TargetMode="External"/><Relationship Id="rId8" Type="http://schemas.openxmlformats.org/officeDocument/2006/relationships/hyperlink" Target="https://ecp.ep.liu.se/index.php/patt/article/view/1477" TargetMode="External"/><Relationship Id="rId9" Type="http://schemas.openxmlformats.org/officeDocument/2006/relationships/hyperlink" Target="https://doi.org/10.1145/3613904.3642919"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DARE Design, AI, Reasoning and Emotion</dc:title>
  <dc:description>Claude Docs node/e039af2a-c33f@42 docx-w7</dc:description>
  <cp:revision>42</cp:revision>
</cp:coreProperties>
</file>