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CEAE" w14:textId="67772A17" w:rsidR="00016D16" w:rsidRPr="00016D16" w:rsidRDefault="00016D16" w:rsidP="00016D16">
      <w:pPr>
        <w:jc w:val="both"/>
        <w:rPr>
          <w:rFonts w:ascii="Garamond" w:hAnsi="Garamond"/>
        </w:rPr>
      </w:pPr>
      <w:r w:rsidRPr="00016D16">
        <w:rPr>
          <w:rFonts w:ascii="Garamond" w:hAnsi="Garamond"/>
        </w:rPr>
        <w:t>1. Introduction</w:t>
      </w:r>
    </w:p>
    <w:p w14:paraId="185FD7BC" w14:textId="77777777" w:rsidR="00016D16" w:rsidRPr="00016D16" w:rsidRDefault="00016D16" w:rsidP="00016D16">
      <w:pPr>
        <w:jc w:val="both"/>
        <w:rPr>
          <w:rFonts w:ascii="Garamond" w:hAnsi="Garamond"/>
        </w:rPr>
      </w:pPr>
    </w:p>
    <w:p w14:paraId="2FE3F7C7" w14:textId="707B4D71" w:rsidR="00016D16" w:rsidRPr="00016D16" w:rsidRDefault="00016D16" w:rsidP="00016D16">
      <w:pPr>
        <w:jc w:val="both"/>
        <w:rPr>
          <w:rFonts w:ascii="Garamond" w:hAnsi="Garamond"/>
        </w:rPr>
      </w:pPr>
      <w:r w:rsidRPr="00016D16">
        <w:rPr>
          <w:rFonts w:ascii="Garamond" w:hAnsi="Garamond"/>
        </w:rPr>
        <w:t>Mapping EntreComp Entrepreneurship Competencies in Maltese Secondary School Syllabi</w:t>
      </w:r>
    </w:p>
    <w:p w14:paraId="35F80D96" w14:textId="77777777" w:rsidR="00016D16" w:rsidRPr="00016D16" w:rsidRDefault="00016D16" w:rsidP="00016D16">
      <w:pPr>
        <w:jc w:val="both"/>
        <w:rPr>
          <w:rFonts w:ascii="Garamond" w:hAnsi="Garamond"/>
        </w:rPr>
      </w:pPr>
    </w:p>
    <w:p w14:paraId="6A775F67" w14:textId="5557C483" w:rsidR="00016D16" w:rsidRPr="00016D16" w:rsidRDefault="00016D16" w:rsidP="00016D16">
      <w:pPr>
        <w:jc w:val="both"/>
        <w:rPr>
          <w:rFonts w:ascii="Garamond" w:hAnsi="Garamond"/>
        </w:rPr>
      </w:pPr>
    </w:p>
    <w:p w14:paraId="406AFBF2" w14:textId="3F535A5F" w:rsidR="00020246" w:rsidRDefault="00A6697B" w:rsidP="00016D16">
      <w:pPr>
        <w:jc w:val="both"/>
        <w:rPr>
          <w:rFonts w:ascii="Garamond" w:hAnsi="Garamond"/>
        </w:rPr>
      </w:pPr>
      <w:r w:rsidRPr="00A6697B">
        <w:rPr>
          <w:rFonts w:ascii="Garamond" w:hAnsi="Garamond"/>
        </w:rPr>
        <w:t xml:space="preserve">European education policy has treated entrepreneurship as a key competence for two decades. The 2006 Recommendation on key competences for lifelong learning listed </w:t>
      </w:r>
      <w:r>
        <w:rPr>
          <w:rFonts w:ascii="Garamond" w:hAnsi="Garamond"/>
        </w:rPr>
        <w:t>“</w:t>
      </w:r>
      <w:r w:rsidRPr="00A6697B">
        <w:rPr>
          <w:rFonts w:ascii="Garamond" w:hAnsi="Garamond"/>
        </w:rPr>
        <w:t>sense of initiative and entrepreneurship</w:t>
      </w:r>
      <w:r>
        <w:rPr>
          <w:rFonts w:ascii="Garamond" w:hAnsi="Garamond"/>
        </w:rPr>
        <w:t>”</w:t>
      </w:r>
      <w:r w:rsidRPr="00A6697B">
        <w:rPr>
          <w:rFonts w:ascii="Garamond" w:hAnsi="Garamond"/>
        </w:rPr>
        <w:t xml:space="preserve"> among eight key competences and described it as </w:t>
      </w:r>
      <w:r>
        <w:rPr>
          <w:rFonts w:ascii="Garamond" w:hAnsi="Garamond"/>
        </w:rPr>
        <w:t>“</w:t>
      </w:r>
      <w:r w:rsidRPr="00A6697B">
        <w:rPr>
          <w:rFonts w:ascii="Garamond" w:hAnsi="Garamond"/>
        </w:rPr>
        <w:t>an individual</w:t>
      </w:r>
      <w:r>
        <w:rPr>
          <w:rFonts w:ascii="Garamond" w:hAnsi="Garamond"/>
        </w:rPr>
        <w:t>’</w:t>
      </w:r>
      <w:r w:rsidRPr="00A6697B">
        <w:rPr>
          <w:rFonts w:ascii="Garamond" w:hAnsi="Garamond"/>
        </w:rPr>
        <w:t>s ability to turn ideas into action</w:t>
      </w:r>
      <w:r>
        <w:rPr>
          <w:rFonts w:ascii="Garamond" w:hAnsi="Garamond"/>
        </w:rPr>
        <w:t>”</w:t>
      </w:r>
      <w:r w:rsidRPr="00A6697B">
        <w:rPr>
          <w:rFonts w:ascii="Garamond" w:hAnsi="Garamond"/>
        </w:rPr>
        <w:t xml:space="preserve"> (European Parliament &amp; Council of the European Union, 2006, p. 17). Ten years later, the European Commission</w:t>
      </w:r>
      <w:r>
        <w:rPr>
          <w:rFonts w:ascii="Garamond" w:hAnsi="Garamond"/>
        </w:rPr>
        <w:t>’</w:t>
      </w:r>
      <w:r w:rsidRPr="00A6697B">
        <w:rPr>
          <w:rFonts w:ascii="Garamond" w:hAnsi="Garamond"/>
        </w:rPr>
        <w:t xml:space="preserve">s Joint Research Centre published EntreComp, which sets out 15 competences grouped into three areas: Ideas and Opportunities, Resources, and Into Action (Bacigalupo et al., 2016). EntreComp defines entrepreneurship as acting </w:t>
      </w:r>
      <w:r>
        <w:rPr>
          <w:rFonts w:ascii="Garamond" w:hAnsi="Garamond"/>
        </w:rPr>
        <w:t>“</w:t>
      </w:r>
      <w:r w:rsidRPr="00A6697B">
        <w:rPr>
          <w:rFonts w:ascii="Garamond" w:hAnsi="Garamond"/>
        </w:rPr>
        <w:t>upon opportunities and ideas</w:t>
      </w:r>
      <w:r>
        <w:rPr>
          <w:rFonts w:ascii="Garamond" w:hAnsi="Garamond"/>
        </w:rPr>
        <w:t>”</w:t>
      </w:r>
      <w:r w:rsidRPr="00A6697B">
        <w:rPr>
          <w:rFonts w:ascii="Garamond" w:hAnsi="Garamond"/>
        </w:rPr>
        <w:t xml:space="preserve"> and transforming them </w:t>
      </w:r>
      <w:r>
        <w:rPr>
          <w:rFonts w:ascii="Garamond" w:hAnsi="Garamond"/>
        </w:rPr>
        <w:t>“</w:t>
      </w:r>
      <w:r w:rsidRPr="00A6697B">
        <w:rPr>
          <w:rFonts w:ascii="Garamond" w:hAnsi="Garamond"/>
        </w:rPr>
        <w:t>into value for others</w:t>
      </w:r>
      <w:r>
        <w:rPr>
          <w:rFonts w:ascii="Garamond" w:hAnsi="Garamond"/>
        </w:rPr>
        <w:t>”</w:t>
      </w:r>
      <w:r w:rsidRPr="00A6697B">
        <w:rPr>
          <w:rFonts w:ascii="Garamond" w:hAnsi="Garamond"/>
        </w:rPr>
        <w:t xml:space="preserve">, whether that value is financial, cultural or social (Bacigalupo et al., 2016, p. 10). The 2018 Recommendation, which took EntreComp into account, used almost the same definition and linked entrepreneurship competence to projects </w:t>
      </w:r>
      <w:r>
        <w:rPr>
          <w:rFonts w:ascii="Garamond" w:hAnsi="Garamond"/>
        </w:rPr>
        <w:t>“</w:t>
      </w:r>
      <w:r w:rsidRPr="00A6697B">
        <w:rPr>
          <w:rFonts w:ascii="Garamond" w:hAnsi="Garamond"/>
        </w:rPr>
        <w:t>of cultural, social or financial value</w:t>
      </w:r>
      <w:r>
        <w:rPr>
          <w:rFonts w:ascii="Garamond" w:hAnsi="Garamond"/>
        </w:rPr>
        <w:t>”</w:t>
      </w:r>
      <w:r w:rsidRPr="00A6697B">
        <w:rPr>
          <w:rFonts w:ascii="Garamond" w:hAnsi="Garamond"/>
        </w:rPr>
        <w:t xml:space="preserve"> (Council of the European Union, 2018, p. 11). Across these documents, the emphasis shifts from initiative towards value creation. E</w:t>
      </w:r>
      <w:r w:rsidR="00013347">
        <w:rPr>
          <w:rFonts w:ascii="Garamond" w:hAnsi="Garamond"/>
        </w:rPr>
        <w:t>ntreComp presents e</w:t>
      </w:r>
      <w:r w:rsidRPr="00A6697B">
        <w:rPr>
          <w:rFonts w:ascii="Garamond" w:hAnsi="Garamond"/>
        </w:rPr>
        <w:t xml:space="preserve">ntrepreneurship </w:t>
      </w:r>
      <w:r w:rsidR="00013347">
        <w:rPr>
          <w:rFonts w:ascii="Garamond" w:hAnsi="Garamond"/>
        </w:rPr>
        <w:t>a</w:t>
      </w:r>
      <w:r w:rsidRPr="00A6697B">
        <w:rPr>
          <w:rFonts w:ascii="Garamond" w:hAnsi="Garamond"/>
        </w:rPr>
        <w:t xml:space="preserve">s a transversal competence that applies </w:t>
      </w:r>
      <w:r>
        <w:rPr>
          <w:rFonts w:ascii="Garamond" w:hAnsi="Garamond"/>
        </w:rPr>
        <w:t>“</w:t>
      </w:r>
      <w:r w:rsidRPr="00A6697B">
        <w:rPr>
          <w:rFonts w:ascii="Garamond" w:hAnsi="Garamond"/>
        </w:rPr>
        <w:t>to all spheres of life</w:t>
      </w:r>
      <w:r>
        <w:rPr>
          <w:rFonts w:ascii="Garamond" w:hAnsi="Garamond"/>
        </w:rPr>
        <w:t>”</w:t>
      </w:r>
      <w:r w:rsidRPr="00A6697B">
        <w:rPr>
          <w:rFonts w:ascii="Garamond" w:hAnsi="Garamond"/>
        </w:rPr>
        <w:t xml:space="preserve"> (Bacigalupo et al., 2016, p. 10).</w:t>
      </w:r>
    </w:p>
    <w:p w14:paraId="47170CE4" w14:textId="77777777" w:rsidR="000F17EE" w:rsidRPr="00016D16" w:rsidRDefault="000F17EE" w:rsidP="00016D16">
      <w:pPr>
        <w:jc w:val="both"/>
        <w:rPr>
          <w:rFonts w:ascii="Garamond" w:hAnsi="Garamond"/>
        </w:rPr>
      </w:pPr>
    </w:p>
    <w:p w14:paraId="2AA747E7" w14:textId="0CEDB928" w:rsidR="003C04EF" w:rsidRDefault="003C04EF" w:rsidP="00016D16">
      <w:pPr>
        <w:jc w:val="both"/>
        <w:rPr>
          <w:rFonts w:ascii="Garamond" w:hAnsi="Garamond"/>
        </w:rPr>
      </w:pPr>
      <w:r w:rsidRPr="003C04EF">
        <w:rPr>
          <w:rFonts w:ascii="Garamond" w:hAnsi="Garamond"/>
        </w:rPr>
        <w:t xml:space="preserve">If entrepreneurship is a transversal competence, </w:t>
      </w:r>
      <w:r w:rsidR="00BF3EA3">
        <w:rPr>
          <w:rFonts w:ascii="Garamond" w:hAnsi="Garamond"/>
        </w:rPr>
        <w:t>responsibility for developing it cannot rest with a single</w:t>
      </w:r>
      <w:r w:rsidRPr="003C04EF">
        <w:rPr>
          <w:rFonts w:ascii="Garamond" w:hAnsi="Garamond"/>
        </w:rPr>
        <w:t xml:space="preserve"> subject. In 2014/15, cross-curricular objectives were the most widespread European approach at lower secondary level, used in 21 education systems, while at upper secondary level entrepreneurship was also often taught within subjects such as economics and business studies (European Commission/EACEA/Eurydice, 201</w:t>
      </w:r>
      <w:r>
        <w:rPr>
          <w:rFonts w:ascii="Garamond" w:hAnsi="Garamond"/>
        </w:rPr>
        <w:t>6</w:t>
      </w:r>
      <w:r w:rsidRPr="003C04EF">
        <w:rPr>
          <w:rFonts w:ascii="Garamond" w:hAnsi="Garamond"/>
        </w:rPr>
        <w:t xml:space="preserve">). </w:t>
      </w:r>
      <w:r w:rsidR="003B5D68" w:rsidRPr="003B5D68">
        <w:rPr>
          <w:rFonts w:ascii="Garamond" w:hAnsi="Garamond"/>
        </w:rPr>
        <w:t>However, locating a competence across the curriculum does not in itself ensure that it is taught</w:t>
      </w:r>
      <w:r w:rsidRPr="003C04EF">
        <w:rPr>
          <w:rFonts w:ascii="Garamond" w:hAnsi="Garamond"/>
        </w:rPr>
        <w:t>. In Finland, where entrepreneurship education was mandated in comprehensive schools, teachers knew what they were expected to implement but did not know how (</w:t>
      </w:r>
      <w:proofErr w:type="spellStart"/>
      <w:r w:rsidRPr="003C04EF">
        <w:rPr>
          <w:rFonts w:ascii="Garamond" w:hAnsi="Garamond"/>
        </w:rPr>
        <w:t>Seikkula</w:t>
      </w:r>
      <w:proofErr w:type="spellEnd"/>
      <w:r w:rsidRPr="003C04EF">
        <w:rPr>
          <w:rFonts w:ascii="Garamond" w:hAnsi="Garamond"/>
        </w:rPr>
        <w:t>-Leino, 2011). More recently, a lack of shared vision and of developed practice has been found to hinder the implementation of EntreComp (</w:t>
      </w:r>
      <w:proofErr w:type="spellStart"/>
      <w:r w:rsidRPr="003C04EF">
        <w:rPr>
          <w:rFonts w:ascii="Garamond" w:hAnsi="Garamond"/>
        </w:rPr>
        <w:t>Seikkula</w:t>
      </w:r>
      <w:proofErr w:type="spellEnd"/>
      <w:r w:rsidRPr="003C04EF">
        <w:rPr>
          <w:rFonts w:ascii="Garamond" w:hAnsi="Garamond"/>
        </w:rPr>
        <w:t xml:space="preserve">-Leino et al., 2021). </w:t>
      </w:r>
      <w:r w:rsidR="005E7A6F" w:rsidRPr="005E7A6F">
        <w:rPr>
          <w:rFonts w:ascii="Garamond" w:hAnsi="Garamond"/>
        </w:rPr>
        <w:t>This creates a potential accountability problem</w:t>
      </w:r>
      <w:r w:rsidR="00BF3EA3">
        <w:rPr>
          <w:rFonts w:ascii="Garamond" w:hAnsi="Garamond"/>
        </w:rPr>
        <w:t>,</w:t>
      </w:r>
      <w:r w:rsidR="005E7A6F">
        <w:rPr>
          <w:rFonts w:ascii="Garamond" w:hAnsi="Garamond"/>
        </w:rPr>
        <w:t xml:space="preserve"> where</w:t>
      </w:r>
      <w:r w:rsidR="005E7A6F" w:rsidRPr="005E7A6F">
        <w:rPr>
          <w:rFonts w:ascii="Garamond" w:hAnsi="Garamond"/>
        </w:rPr>
        <w:t xml:space="preserve"> responsibility for entrepreneurship is spread across subjects </w:t>
      </w:r>
      <w:r w:rsidR="00BF3EA3">
        <w:rPr>
          <w:rFonts w:ascii="Garamond" w:hAnsi="Garamond"/>
        </w:rPr>
        <w:t>and</w:t>
      </w:r>
      <w:r w:rsidR="005E7A6F" w:rsidRPr="005E7A6F">
        <w:rPr>
          <w:rFonts w:ascii="Garamond" w:hAnsi="Garamond"/>
        </w:rPr>
        <w:t xml:space="preserve"> it may remain unclear where </w:t>
      </w:r>
      <w:proofErr w:type="gramStart"/>
      <w:r w:rsidR="005E7A6F" w:rsidRPr="005E7A6F">
        <w:rPr>
          <w:rFonts w:ascii="Garamond" w:hAnsi="Garamond"/>
        </w:rPr>
        <w:t>particular competences</w:t>
      </w:r>
      <w:proofErr w:type="gramEnd"/>
      <w:r w:rsidR="005E7A6F" w:rsidRPr="005E7A6F">
        <w:rPr>
          <w:rFonts w:ascii="Garamond" w:hAnsi="Garamond"/>
        </w:rPr>
        <w:t xml:space="preserve"> should </w:t>
      </w:r>
      <w:proofErr w:type="gramStart"/>
      <w:r w:rsidR="005E7A6F" w:rsidRPr="005E7A6F">
        <w:rPr>
          <w:rFonts w:ascii="Garamond" w:hAnsi="Garamond"/>
        </w:rPr>
        <w:t>actually be</w:t>
      </w:r>
      <w:proofErr w:type="gramEnd"/>
      <w:r w:rsidR="005E7A6F" w:rsidRPr="005E7A6F">
        <w:rPr>
          <w:rFonts w:ascii="Garamond" w:hAnsi="Garamond"/>
        </w:rPr>
        <w:t xml:space="preserve"> taught or assessed</w:t>
      </w:r>
      <w:r w:rsidR="00A02452" w:rsidRPr="00A02452">
        <w:rPr>
          <w:rFonts w:ascii="Garamond" w:hAnsi="Garamond"/>
        </w:rPr>
        <w:t>.</w:t>
      </w:r>
      <w:r w:rsidRPr="003C04EF">
        <w:rPr>
          <w:rFonts w:ascii="Garamond" w:hAnsi="Garamond"/>
        </w:rPr>
        <w:t xml:space="preserve"> </w:t>
      </w:r>
      <w:r w:rsidR="006D4550" w:rsidRPr="006D4550">
        <w:rPr>
          <w:rFonts w:ascii="Garamond" w:hAnsi="Garamond"/>
        </w:rPr>
        <w:t>Entrepreneurial learning may therefore emerge as a by-product of disciplinary aims, without being explicitly planned within the curriculum</w:t>
      </w:r>
      <w:r w:rsidRPr="003C04EF">
        <w:rPr>
          <w:rFonts w:ascii="Garamond" w:hAnsi="Garamond"/>
        </w:rPr>
        <w:t>.</w:t>
      </w:r>
    </w:p>
    <w:p w14:paraId="11932980" w14:textId="77777777" w:rsidR="003C04EF" w:rsidRPr="00016D16" w:rsidRDefault="003C04EF" w:rsidP="00016D16">
      <w:pPr>
        <w:jc w:val="both"/>
        <w:rPr>
          <w:rFonts w:ascii="Garamond" w:hAnsi="Garamond"/>
        </w:rPr>
      </w:pPr>
    </w:p>
    <w:p w14:paraId="4217A9F5" w14:textId="429D873A" w:rsidR="009E21DA" w:rsidRDefault="006D4550" w:rsidP="00016D16">
      <w:pPr>
        <w:jc w:val="both"/>
        <w:rPr>
          <w:rFonts w:ascii="Garamond" w:hAnsi="Garamond"/>
        </w:rPr>
      </w:pPr>
      <w:r w:rsidRPr="006D4550">
        <w:rPr>
          <w:rFonts w:ascii="Garamond" w:hAnsi="Garamond"/>
        </w:rPr>
        <w:t xml:space="preserve">Malta provides a particularly relevant context for examining this issue because its secondary curriculum is highly centralised and closely tied to assessment. The Secondary Education Certificate (SEC) syllabi set by the MATSEC Examinations Board largely determine what is taught and assessed. The National Curriculum Framework made “Education for Entrepreneurship, Creativity and Innovation” one of six cross-curricular themes (Ministry of Education and Employment, 2012, p. 37), and Malta's stated intention was to embed entrepreneurial learning outcomes in all subjects at all levels (European Commission/EACEA/Eurydice, 2016). None of the eight SEC syllabi examined in this study, however, refers to EntreComp. In a syllabus- and assessment-driven system, content that is absent from the formal syllabus has fewer institutional mechanisms ensuring that it is taught. </w:t>
      </w:r>
      <w:r w:rsidR="00BF3EA3">
        <w:rPr>
          <w:rFonts w:ascii="Garamond" w:hAnsi="Garamond"/>
        </w:rPr>
        <w:t>Against this background, we examine</w:t>
      </w:r>
      <w:r w:rsidRPr="006D4550">
        <w:rPr>
          <w:rFonts w:ascii="Garamond" w:hAnsi="Garamond"/>
        </w:rPr>
        <w:t xml:space="preserve"> whether the entrepreneurship competences envisaged in European policy are deliberately represented in Maltese secondary curricula or arise incidentally through disciplinary learning.</w:t>
      </w:r>
    </w:p>
    <w:p w14:paraId="479C8399" w14:textId="77777777" w:rsidR="006D4550" w:rsidRPr="00016D16" w:rsidRDefault="006D4550" w:rsidP="00016D16">
      <w:pPr>
        <w:jc w:val="both"/>
        <w:rPr>
          <w:rFonts w:ascii="Garamond" w:hAnsi="Garamond"/>
        </w:rPr>
      </w:pPr>
    </w:p>
    <w:p w14:paraId="53465B2B" w14:textId="5682F32C" w:rsidR="00016D16" w:rsidRPr="00016D16" w:rsidRDefault="009E21DA" w:rsidP="00016D16">
      <w:pPr>
        <w:jc w:val="both"/>
        <w:rPr>
          <w:rFonts w:ascii="Garamond" w:hAnsi="Garamond"/>
        </w:rPr>
      </w:pPr>
      <w:r w:rsidRPr="009E21DA">
        <w:rPr>
          <w:rFonts w:ascii="Garamond" w:hAnsi="Garamond"/>
        </w:rPr>
        <w:t xml:space="preserve">We examined eight SEC syllabi through a directed qualitative content analysis, mapping their learning outcomes and assessment criteria against the 15 EntreComp competences. </w:t>
      </w:r>
      <w:r w:rsidR="00BF3EA3">
        <w:rPr>
          <w:rFonts w:ascii="Garamond" w:hAnsi="Garamond"/>
        </w:rPr>
        <w:t>The eight</w:t>
      </w:r>
      <w:r w:rsidRPr="009E21DA">
        <w:rPr>
          <w:rFonts w:ascii="Garamond" w:hAnsi="Garamond"/>
        </w:rPr>
        <w:t xml:space="preserve"> syllabi were grouped into two curricular traditions. The business-oriented subjects (Accounting, Business Studies and Economics) are where European curricula have most often placed </w:t>
      </w:r>
      <w:r w:rsidRPr="009E21DA">
        <w:rPr>
          <w:rFonts w:ascii="Garamond" w:hAnsi="Garamond"/>
        </w:rPr>
        <w:lastRenderedPageBreak/>
        <w:t xml:space="preserve">entrepreneurship education (European Commission/EACEA/Eurydice, 2016, pp. 12, 68). The Technology and Engineering (T&amp;E) subjects (Computing, Design &amp; Technology, Engineering Technology, Graphical Communication and Information Technology) centre on designing, making and problem-solving, activities that may </w:t>
      </w:r>
      <w:r w:rsidR="006D4550">
        <w:rPr>
          <w:rFonts w:ascii="Garamond" w:hAnsi="Garamond"/>
        </w:rPr>
        <w:t>foster</w:t>
      </w:r>
      <w:r w:rsidRPr="009E21DA">
        <w:rPr>
          <w:rFonts w:ascii="Garamond" w:hAnsi="Garamond"/>
        </w:rPr>
        <w:t xml:space="preserve"> </w:t>
      </w:r>
      <w:r w:rsidR="006D4550" w:rsidRPr="006D4550">
        <w:rPr>
          <w:rFonts w:ascii="Garamond" w:hAnsi="Garamond"/>
        </w:rPr>
        <w:t>EntreComp-related competences even when entrepreneurship is not explicitly identified as an intended outcome</w:t>
      </w:r>
      <w:r w:rsidRPr="009E21DA">
        <w:rPr>
          <w:rFonts w:ascii="Garamond" w:hAnsi="Garamond"/>
        </w:rPr>
        <w:t>. Three research questions guided the study:</w:t>
      </w:r>
    </w:p>
    <w:p w14:paraId="4D245896" w14:textId="77777777" w:rsidR="00016D16" w:rsidRPr="00016D16" w:rsidRDefault="00016D16" w:rsidP="00016D16">
      <w:pPr>
        <w:jc w:val="both"/>
        <w:rPr>
          <w:rFonts w:ascii="Garamond" w:hAnsi="Garamond"/>
        </w:rPr>
      </w:pPr>
    </w:p>
    <w:p w14:paraId="066755C7" w14:textId="25075025" w:rsidR="00016D16" w:rsidRPr="00016D16" w:rsidRDefault="00016D16" w:rsidP="00016D16">
      <w:pPr>
        <w:jc w:val="both"/>
        <w:rPr>
          <w:rFonts w:ascii="Garamond" w:hAnsi="Garamond"/>
        </w:rPr>
      </w:pPr>
      <w:r w:rsidRPr="00AC33B0">
        <w:rPr>
          <w:rFonts w:ascii="Garamond" w:hAnsi="Garamond"/>
          <w:b/>
          <w:bCs/>
        </w:rPr>
        <w:t>RQ1</w:t>
      </w:r>
      <w:r w:rsidR="00AC33B0" w:rsidRPr="00AC33B0">
        <w:rPr>
          <w:rFonts w:ascii="Garamond" w:hAnsi="Garamond"/>
          <w:b/>
          <w:bCs/>
        </w:rPr>
        <w:t>:</w:t>
      </w:r>
      <w:r w:rsidR="00AC33B0">
        <w:rPr>
          <w:rFonts w:ascii="Garamond" w:hAnsi="Garamond"/>
        </w:rPr>
        <w:t xml:space="preserve"> </w:t>
      </w:r>
      <w:r w:rsidRPr="00016D16">
        <w:rPr>
          <w:rFonts w:ascii="Garamond" w:hAnsi="Garamond"/>
        </w:rPr>
        <w:t>To what extent are the EntreComp entrepreneurship competences represented in the learning outcomes and assessment criteria of the selected business-oriented and T&amp;E syllabi, and which competences are most and least represented?</w:t>
      </w:r>
    </w:p>
    <w:p w14:paraId="45525A41" w14:textId="01731F77" w:rsidR="00016D16" w:rsidRPr="00016D16" w:rsidRDefault="00016D16" w:rsidP="00016D16">
      <w:pPr>
        <w:jc w:val="both"/>
        <w:rPr>
          <w:rFonts w:ascii="Garamond" w:hAnsi="Garamond"/>
        </w:rPr>
      </w:pPr>
      <w:r w:rsidRPr="00AC33B0">
        <w:rPr>
          <w:rFonts w:ascii="Garamond" w:hAnsi="Garamond"/>
          <w:b/>
          <w:bCs/>
        </w:rPr>
        <w:t>RQ2</w:t>
      </w:r>
      <w:r w:rsidR="00AC33B0" w:rsidRPr="00AC33B0">
        <w:rPr>
          <w:rFonts w:ascii="Garamond" w:hAnsi="Garamond"/>
          <w:b/>
          <w:bCs/>
        </w:rPr>
        <w:t>:</w:t>
      </w:r>
      <w:r w:rsidR="00AC33B0">
        <w:rPr>
          <w:rFonts w:ascii="Garamond" w:hAnsi="Garamond"/>
        </w:rPr>
        <w:t xml:space="preserve"> </w:t>
      </w:r>
      <w:r w:rsidRPr="00016D16">
        <w:rPr>
          <w:rFonts w:ascii="Garamond" w:hAnsi="Garamond"/>
        </w:rPr>
        <w:t xml:space="preserve">How do the profiles of EntreComp competence representation differ across the syllabi, and what </w:t>
      </w:r>
      <w:r w:rsidR="00945B13">
        <w:rPr>
          <w:rFonts w:ascii="Garamond" w:hAnsi="Garamond"/>
        </w:rPr>
        <w:t>conceptions</w:t>
      </w:r>
      <w:r w:rsidRPr="00016D16">
        <w:rPr>
          <w:rFonts w:ascii="Garamond" w:hAnsi="Garamond"/>
        </w:rPr>
        <w:t xml:space="preserve"> of entrepreneurship </w:t>
      </w:r>
      <w:r w:rsidR="00945B13">
        <w:rPr>
          <w:rFonts w:ascii="Garamond" w:hAnsi="Garamond"/>
        </w:rPr>
        <w:t>can be inferred from these profiles</w:t>
      </w:r>
      <w:r w:rsidRPr="00016D16">
        <w:rPr>
          <w:rFonts w:ascii="Garamond" w:hAnsi="Garamond"/>
        </w:rPr>
        <w:t>?</w:t>
      </w:r>
    </w:p>
    <w:p w14:paraId="035D5AD7" w14:textId="68197A7C" w:rsidR="00016D16" w:rsidRPr="00016D16" w:rsidRDefault="00016D16" w:rsidP="00016D16">
      <w:pPr>
        <w:jc w:val="both"/>
        <w:rPr>
          <w:rFonts w:ascii="Garamond" w:hAnsi="Garamond"/>
        </w:rPr>
      </w:pPr>
      <w:r w:rsidRPr="00AC33B0">
        <w:rPr>
          <w:rFonts w:ascii="Garamond" w:hAnsi="Garamond"/>
          <w:b/>
          <w:bCs/>
        </w:rPr>
        <w:t>RQ3</w:t>
      </w:r>
      <w:r w:rsidR="00AC33B0" w:rsidRPr="00AC33B0">
        <w:rPr>
          <w:rFonts w:ascii="Garamond" w:hAnsi="Garamond"/>
          <w:b/>
          <w:bCs/>
        </w:rPr>
        <w:t>:</w:t>
      </w:r>
      <w:r w:rsidRPr="00016D16">
        <w:rPr>
          <w:rFonts w:ascii="Garamond" w:hAnsi="Garamond"/>
        </w:rPr>
        <w:t xml:space="preserve"> Which EntreComp competences are systematically underrepresented or absent across all the syllabi examined, and what are the implications for entrepreneurship education policy in Malta?</w:t>
      </w:r>
    </w:p>
    <w:p w14:paraId="2F729ACF" w14:textId="77777777" w:rsidR="00016D16" w:rsidRPr="00016D16" w:rsidRDefault="00016D16" w:rsidP="00016D16">
      <w:pPr>
        <w:jc w:val="both"/>
        <w:rPr>
          <w:rFonts w:ascii="Garamond" w:hAnsi="Garamond"/>
        </w:rPr>
      </w:pPr>
    </w:p>
    <w:p w14:paraId="4026F9E8" w14:textId="7CB86AD2" w:rsidR="00016D16" w:rsidRPr="00016D16" w:rsidRDefault="00BF3EA3" w:rsidP="00016D16">
      <w:pPr>
        <w:jc w:val="both"/>
        <w:rPr>
          <w:rFonts w:ascii="Garamond" w:hAnsi="Garamond"/>
        </w:rPr>
      </w:pPr>
      <w:r w:rsidRPr="00BF3EA3">
        <w:rPr>
          <w:rFonts w:ascii="Garamond" w:hAnsi="Garamond"/>
        </w:rPr>
        <w:t>This study offers, to our knowledge, the first systematic mapping of EntreComp competences across business-oriented and T&amp;E syllabi in Malta. It also draws on theories of the hidden curriculum (Jackson, 1968) and the differentiation of subject knowledge (Bernstein, 2000; Young &amp; Muller, 2010) to examine whether the two curricular traditions embody different implicit models of entrepreneurship. Finally, the analysis identifies competences that receive only minimal or no representation across the eight syllabi, highlighting areas that may require greater attention within the formal curriculum.</w:t>
      </w:r>
      <w:r w:rsidR="0059217B" w:rsidRPr="0059217B">
        <w:rPr>
          <w:rFonts w:ascii="Garamond" w:hAnsi="Garamond"/>
        </w:rPr>
        <w:t xml:space="preserve"> </w:t>
      </w:r>
    </w:p>
    <w:p w14:paraId="68C19CE7" w14:textId="77777777" w:rsidR="000F17EE" w:rsidRDefault="000F17EE" w:rsidP="00016D16">
      <w:pPr>
        <w:jc w:val="both"/>
        <w:rPr>
          <w:rFonts w:ascii="Garamond" w:hAnsi="Garamond"/>
        </w:rPr>
      </w:pPr>
    </w:p>
    <w:p w14:paraId="5D4DFD67" w14:textId="77777777" w:rsidR="000F17EE" w:rsidRPr="000F17EE" w:rsidRDefault="000F17EE" w:rsidP="000F17EE">
      <w:pPr>
        <w:pStyle w:val="p1"/>
        <w:jc w:val="both"/>
        <w:rPr>
          <w:rFonts w:ascii="Garamond" w:hAnsi="Garamond"/>
        </w:rPr>
      </w:pPr>
      <w:r w:rsidRPr="000F17EE">
        <w:rPr>
          <w:rFonts w:ascii="Garamond" w:hAnsi="Garamond"/>
        </w:rPr>
        <w:t xml:space="preserve">Bacigalupo, M., </w:t>
      </w:r>
      <w:proofErr w:type="spellStart"/>
      <w:r w:rsidRPr="000F17EE">
        <w:rPr>
          <w:rFonts w:ascii="Garamond" w:hAnsi="Garamond"/>
        </w:rPr>
        <w:t>Kampylis</w:t>
      </w:r>
      <w:proofErr w:type="spellEnd"/>
      <w:r w:rsidRPr="000F17EE">
        <w:rPr>
          <w:rFonts w:ascii="Garamond" w:hAnsi="Garamond"/>
        </w:rPr>
        <w:t xml:space="preserve">, P., Punie, Y., &amp; Van den Brande, G. (2016). </w:t>
      </w:r>
      <w:r w:rsidRPr="000F17EE">
        <w:rPr>
          <w:rStyle w:val="s1"/>
          <w:rFonts w:ascii="Garamond" w:eastAsiaTheme="majorEastAsia" w:hAnsi="Garamond"/>
          <w:i/>
          <w:iCs/>
        </w:rPr>
        <w:t>EntreComp: The entrepreneurship competence framework</w:t>
      </w:r>
      <w:r w:rsidRPr="000F17EE">
        <w:rPr>
          <w:rFonts w:ascii="Garamond" w:hAnsi="Garamond"/>
        </w:rPr>
        <w:t>. Publications Office of the European Union. https://doi.org/10.2791/593884</w:t>
      </w:r>
    </w:p>
    <w:p w14:paraId="62FEAFC6" w14:textId="71B0E6F4" w:rsidR="000F17EE" w:rsidRPr="000F17EE" w:rsidRDefault="000F17EE" w:rsidP="000F17EE">
      <w:pPr>
        <w:pStyle w:val="p1"/>
        <w:jc w:val="both"/>
        <w:rPr>
          <w:rFonts w:ascii="Garamond" w:hAnsi="Garamond"/>
        </w:rPr>
      </w:pPr>
      <w:r w:rsidRPr="000F17EE">
        <w:rPr>
          <w:rFonts w:ascii="Garamond" w:hAnsi="Garamond"/>
        </w:rPr>
        <w:t xml:space="preserve">Council of the European Union. (2018). Council Recommendation of 22 May 2018 on key competences for lifelong learning (2018/C 189/01). </w:t>
      </w:r>
      <w:r w:rsidRPr="000F17EE">
        <w:rPr>
          <w:rStyle w:val="s1"/>
          <w:rFonts w:ascii="Garamond" w:eastAsiaTheme="majorEastAsia" w:hAnsi="Garamond"/>
          <w:i/>
          <w:iCs/>
        </w:rPr>
        <w:t>Official Journal of the European Union, C 189</w:t>
      </w:r>
      <w:r w:rsidRPr="000F17EE">
        <w:rPr>
          <w:rFonts w:ascii="Garamond" w:hAnsi="Garamond"/>
        </w:rPr>
        <w:t>, 1–13.</w:t>
      </w:r>
    </w:p>
    <w:p w14:paraId="1C0DB1F8" w14:textId="1F7B948D" w:rsidR="000F17EE" w:rsidRPr="000F17EE" w:rsidRDefault="000F17EE" w:rsidP="000F17EE">
      <w:pPr>
        <w:jc w:val="both"/>
        <w:rPr>
          <w:rFonts w:ascii="Garamond" w:hAnsi="Garamond"/>
        </w:rPr>
      </w:pPr>
      <w:r w:rsidRPr="000F17EE">
        <w:rPr>
          <w:rFonts w:ascii="Garamond" w:hAnsi="Garamond"/>
        </w:rPr>
        <w:t xml:space="preserve">European Parliament &amp; Council of the European Union. (2006). Recommendation of the European Parliament and of the Council of 18 December 2006 on key competences for lifelong learning (2006/962/EC). </w:t>
      </w:r>
      <w:r w:rsidRPr="000F17EE">
        <w:rPr>
          <w:rStyle w:val="Emphasis"/>
          <w:rFonts w:ascii="Garamond" w:hAnsi="Garamond"/>
        </w:rPr>
        <w:t>Official Journal of the European Union, L 394</w:t>
      </w:r>
      <w:r w:rsidRPr="000F17EE">
        <w:rPr>
          <w:rFonts w:ascii="Garamond" w:hAnsi="Garamond"/>
        </w:rPr>
        <w:t xml:space="preserve">, 10–18. </w:t>
      </w:r>
      <w:hyperlink r:id="rId4" w:history="1">
        <w:r w:rsidRPr="000F17EE">
          <w:rPr>
            <w:rStyle w:val="Hyperlink"/>
            <w:rFonts w:ascii="Garamond" w:hAnsi="Garamond"/>
          </w:rPr>
          <w:t>https://eur-lex.europa.eu/legal-content/EN/TXT/?uri=CELEX:32006H0962</w:t>
        </w:r>
      </w:hyperlink>
    </w:p>
    <w:p w14:paraId="7A2EC7B0" w14:textId="77777777" w:rsidR="00016D16" w:rsidRPr="00016D16" w:rsidRDefault="00016D16" w:rsidP="00016D16">
      <w:pPr>
        <w:jc w:val="both"/>
        <w:rPr>
          <w:rFonts w:ascii="Garamond" w:hAnsi="Garamond"/>
        </w:rPr>
      </w:pPr>
    </w:p>
    <w:p w14:paraId="1133A64C" w14:textId="79823470" w:rsidR="00016D16" w:rsidRPr="009E21DA" w:rsidRDefault="009E21DA" w:rsidP="00016D16">
      <w:pPr>
        <w:jc w:val="both"/>
        <w:rPr>
          <w:rFonts w:ascii="Garamond" w:hAnsi="Garamond"/>
        </w:rPr>
      </w:pPr>
      <w:r w:rsidRPr="009E21DA">
        <w:rPr>
          <w:rFonts w:ascii="Garamond" w:hAnsi="Garamond"/>
        </w:rPr>
        <w:t xml:space="preserve">European Commission, Education, Audiovisual and Culture Executive Agency. (2016). </w:t>
      </w:r>
      <w:r w:rsidRPr="009E21DA">
        <w:rPr>
          <w:rStyle w:val="Emphasis"/>
          <w:rFonts w:ascii="Garamond" w:hAnsi="Garamond" w:cs="Arial"/>
        </w:rPr>
        <w:t>Entrepreneurship education at school in Europe</w:t>
      </w:r>
      <w:r w:rsidRPr="009E21DA">
        <w:rPr>
          <w:rFonts w:ascii="Garamond" w:hAnsi="Garamond"/>
        </w:rPr>
        <w:t>. Publications Office of the European Union.</w:t>
      </w:r>
    </w:p>
    <w:p w14:paraId="3EB92BB0" w14:textId="57E858FA" w:rsidR="00EA033B" w:rsidRPr="00016D16" w:rsidRDefault="00EA033B" w:rsidP="00016D16">
      <w:pPr>
        <w:jc w:val="both"/>
        <w:rPr>
          <w:rFonts w:ascii="Garamond" w:hAnsi="Garamond"/>
        </w:rPr>
      </w:pPr>
    </w:p>
    <w:sectPr w:rsidR="00EA033B" w:rsidRPr="00016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16"/>
    <w:rsid w:val="00013347"/>
    <w:rsid w:val="00016D16"/>
    <w:rsid w:val="00020246"/>
    <w:rsid w:val="000F17EE"/>
    <w:rsid w:val="001B078A"/>
    <w:rsid w:val="001C78A8"/>
    <w:rsid w:val="003B5D68"/>
    <w:rsid w:val="003C04EF"/>
    <w:rsid w:val="0046349D"/>
    <w:rsid w:val="00475286"/>
    <w:rsid w:val="004F2D29"/>
    <w:rsid w:val="0059217B"/>
    <w:rsid w:val="005E7A6F"/>
    <w:rsid w:val="006D4550"/>
    <w:rsid w:val="00721005"/>
    <w:rsid w:val="00911D11"/>
    <w:rsid w:val="00945B13"/>
    <w:rsid w:val="009E21DA"/>
    <w:rsid w:val="00A02452"/>
    <w:rsid w:val="00A6697B"/>
    <w:rsid w:val="00A92369"/>
    <w:rsid w:val="00AC33B0"/>
    <w:rsid w:val="00B432D1"/>
    <w:rsid w:val="00BF3EA3"/>
    <w:rsid w:val="00DA4781"/>
    <w:rsid w:val="00EA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3A29D0"/>
  <w15:chartTrackingRefBased/>
  <w15:docId w15:val="{52578C63-3E59-5E4B-9DBC-267D654A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D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D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D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D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D16"/>
    <w:rPr>
      <w:rFonts w:eastAsiaTheme="majorEastAsia" w:cstheme="majorBidi"/>
      <w:color w:val="272727" w:themeColor="text1" w:themeTint="D8"/>
    </w:rPr>
  </w:style>
  <w:style w:type="paragraph" w:styleId="Title">
    <w:name w:val="Title"/>
    <w:basedOn w:val="Normal"/>
    <w:next w:val="Normal"/>
    <w:link w:val="TitleChar"/>
    <w:uiPriority w:val="10"/>
    <w:qFormat/>
    <w:rsid w:val="00016D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D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D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6D16"/>
    <w:rPr>
      <w:i/>
      <w:iCs/>
      <w:color w:val="404040" w:themeColor="text1" w:themeTint="BF"/>
    </w:rPr>
  </w:style>
  <w:style w:type="paragraph" w:styleId="ListParagraph">
    <w:name w:val="List Paragraph"/>
    <w:basedOn w:val="Normal"/>
    <w:uiPriority w:val="34"/>
    <w:qFormat/>
    <w:rsid w:val="00016D16"/>
    <w:pPr>
      <w:ind w:left="720"/>
      <w:contextualSpacing/>
    </w:pPr>
  </w:style>
  <w:style w:type="character" w:styleId="IntenseEmphasis">
    <w:name w:val="Intense Emphasis"/>
    <w:basedOn w:val="DefaultParagraphFont"/>
    <w:uiPriority w:val="21"/>
    <w:qFormat/>
    <w:rsid w:val="00016D16"/>
    <w:rPr>
      <w:i/>
      <w:iCs/>
      <w:color w:val="0F4761" w:themeColor="accent1" w:themeShade="BF"/>
    </w:rPr>
  </w:style>
  <w:style w:type="paragraph" w:styleId="IntenseQuote">
    <w:name w:val="Intense Quote"/>
    <w:basedOn w:val="Normal"/>
    <w:next w:val="Normal"/>
    <w:link w:val="IntenseQuoteChar"/>
    <w:uiPriority w:val="30"/>
    <w:qFormat/>
    <w:rsid w:val="00016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D16"/>
    <w:rPr>
      <w:i/>
      <w:iCs/>
      <w:color w:val="0F4761" w:themeColor="accent1" w:themeShade="BF"/>
    </w:rPr>
  </w:style>
  <w:style w:type="character" w:styleId="IntenseReference">
    <w:name w:val="Intense Reference"/>
    <w:basedOn w:val="DefaultParagraphFont"/>
    <w:uiPriority w:val="32"/>
    <w:qFormat/>
    <w:rsid w:val="00016D16"/>
    <w:rPr>
      <w:b/>
      <w:bCs/>
      <w:smallCaps/>
      <w:color w:val="0F4761" w:themeColor="accent1" w:themeShade="BF"/>
      <w:spacing w:val="5"/>
    </w:rPr>
  </w:style>
  <w:style w:type="character" w:styleId="Emphasis">
    <w:name w:val="Emphasis"/>
    <w:basedOn w:val="DefaultParagraphFont"/>
    <w:uiPriority w:val="20"/>
    <w:qFormat/>
    <w:rsid w:val="000F17EE"/>
    <w:rPr>
      <w:i/>
      <w:iCs/>
    </w:rPr>
  </w:style>
  <w:style w:type="character" w:styleId="Hyperlink">
    <w:name w:val="Hyperlink"/>
    <w:basedOn w:val="DefaultParagraphFont"/>
    <w:uiPriority w:val="99"/>
    <w:semiHidden/>
    <w:unhideWhenUsed/>
    <w:rsid w:val="000F17EE"/>
    <w:rPr>
      <w:color w:val="0000FF"/>
      <w:u w:val="single"/>
    </w:rPr>
  </w:style>
  <w:style w:type="paragraph" w:customStyle="1" w:styleId="p1">
    <w:name w:val="p1"/>
    <w:basedOn w:val="Normal"/>
    <w:rsid w:val="000F17E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0F1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ur-lex.europa.eu/legal-content/EN/TXT/?uri=CELEX:32006H09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Vassallo</dc:creator>
  <cp:keywords/>
  <dc:description/>
  <cp:lastModifiedBy>Diane Vassallo</cp:lastModifiedBy>
  <cp:revision>11</cp:revision>
  <dcterms:created xsi:type="dcterms:W3CDTF">2026-09-29T07:12:00Z</dcterms:created>
  <dcterms:modified xsi:type="dcterms:W3CDTF">2026-09-29T13:25:00Z</dcterms:modified>
</cp:coreProperties>
</file>