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64" w:lineRule="auto"/>
      </w:pPr>
      <w:r>
        <w:rPr>
          <w:rFonts w:ascii="Calibri" w:hAnsi="Calibri"/>
          <w:b/>
          <w:i w:val="0"/>
          <w:color w:val="1F4D78"/>
          <w:sz w:val="36"/>
        </w:rPr>
        <w:t>COLOMBIATOURS.TRAVEL S.A.S.</w:t>
      </w:r>
    </w:p>
    <w:p>
      <w:pPr>
        <w:spacing w:before="0" w:after="200" w:line="264" w:lineRule="auto"/>
      </w:pPr>
      <w:r>
        <w:rPr>
          <w:rFonts w:ascii="Calibri" w:hAnsi="Calibri"/>
          <w:b w:val="0"/>
          <w:i w:val="0"/>
          <w:color w:val="606A74"/>
          <w:sz w:val="26"/>
        </w:rPr>
        <w:t>Invoice / Intercompany Services Statement</w:t>
      </w:r>
    </w:p>
    <w:tbl>
      <w:tblPr>
        <w:tblW w:type="dxa" w:w="9360"/>
        <w:jc w:val="left"/>
        <w:tblLook w:firstColumn="1" w:firstRow="1" w:lastColumn="0" w:lastRow="0" w:noHBand="0" w:noVBand="1" w:val="04A0"/>
        <w:tblLayout w:type="fixed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5100"/>
        <w:gridCol w:w="4260"/>
      </w:tblGrid>
      <w:tr>
        <w:tc>
          <w:tcPr>
            <w:tcW w:type="dxa" w:w="5100"/>
            <w:shd w:fill="F2F4F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Issuer: COLOMBIATOURS.TRAVEL S.A.S.</w:t>
              <w:br/>
              <w:t>NIT: 901346505-1</w:t>
              <w:br/>
              <w:t>Address: Carrera 17 Nro. 9 - 70 LC 2 Edificio Camellando, Pinares, Pereira, Risaralda, Colombia</w:t>
              <w:br/>
              <w:t>Email: comunicaciones@colombiatours.travel</w:t>
            </w:r>
          </w:p>
        </w:tc>
        <w:tc>
          <w:tcPr>
            <w:tcW w:type="dxa" w:w="4260"/>
            <w:shd w:fill="F2F4F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Statement No.: CT-WP-SVC-2026-0203</w:t>
              <w:br/>
              <w:t>Issue Date: May 6, 2026</w:t>
              <w:br/>
              <w:t>Reference Transaction Date: February 03, 2026</w:t>
              <w:br/>
              <w:t>Currency: USD</w:t>
            </w:r>
          </w:p>
        </w:tc>
      </w:tr>
    </w:tbl>
    <w:p>
      <w:pPr>
        <w:spacing w:before="0" w:after="80" w:line="264" w:lineRule="auto"/>
      </w:pPr>
    </w:p>
    <w:tbl>
      <w:tblPr>
        <w:tblW w:type="dxa" w:w="9360"/>
        <w:jc w:val="left"/>
        <w:tblLook w:firstColumn="1" w:firstRow="1" w:lastColumn="0" w:lastRow="0" w:noHBand="0" w:noVBand="1" w:val="04A0"/>
        <w:tblLayout w:type="fixed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2520"/>
        <w:gridCol w:w="6840"/>
      </w:tblGrid>
      <w:tr>
        <w:tc>
          <w:tcPr>
            <w:tcW w:type="dxa" w:w="2520"/>
            <w:shd w:fill="F2F4F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Bill To</w:t>
            </w:r>
          </w:p>
        </w:tc>
        <w:tc>
          <w:tcPr>
            <w:tcW w:type="dxa" w:w="68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Weppa Group LLC</w:t>
            </w:r>
          </w:p>
        </w:tc>
      </w:tr>
      <w:tr>
        <w:tc>
          <w:tcPr>
            <w:tcW w:type="dxa" w:w="2520"/>
            <w:shd w:fill="F2F4F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Billing Address</w:t>
            </w:r>
          </w:p>
        </w:tc>
        <w:tc>
          <w:tcPr>
            <w:tcW w:type="dxa" w:w="68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8206 Louisiana Boulevard Northeast, Ste A, Albuquerque, NM 87113, United States</w:t>
            </w:r>
          </w:p>
        </w:tc>
      </w:tr>
      <w:tr>
        <w:tc>
          <w:tcPr>
            <w:tcW w:type="dxa" w:w="2520"/>
            <w:shd w:fill="F2F4F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Relationship</w:t>
            </w:r>
          </w:p>
        </w:tc>
        <w:tc>
          <w:tcPr>
            <w:tcW w:type="dxa" w:w="68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Related company under common beneficial ownership by Yeison Gómez</w:t>
            </w:r>
          </w:p>
        </w:tc>
      </w:tr>
      <w:tr>
        <w:tc>
          <w:tcPr>
            <w:tcW w:type="dxa" w:w="2520"/>
            <w:shd w:fill="F2F4F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Platform</w:t>
            </w:r>
          </w:p>
        </w:tc>
        <w:tc>
          <w:tcPr>
            <w:tcW w:type="dxa" w:w="68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Bukeer travel technology platform</w:t>
            </w:r>
          </w:p>
        </w:tc>
      </w:tr>
      <w:tr>
        <w:tc>
          <w:tcPr>
            <w:tcW w:type="dxa" w:w="2520"/>
            <w:shd w:fill="F2F4F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Mercury Transaction Reference</w:t>
            </w:r>
          </w:p>
        </w:tc>
        <w:tc>
          <w:tcPr>
            <w:tcW w:type="dxa" w:w="68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USD 2,027.99 at COLOMBIATOURS on February 03, 2026 (PT)</w:t>
            </w:r>
          </w:p>
        </w:tc>
      </w:tr>
    </w:tbl>
    <w:p>
      <w:pPr>
        <w:spacing w:before="160" w:after="80" w:line="264" w:lineRule="auto"/>
      </w:pPr>
      <w:r>
        <w:rPr>
          <w:rFonts w:ascii="Calibri" w:hAnsi="Calibri"/>
          <w:b/>
          <w:i w:val="0"/>
          <w:color w:val="2E74B5"/>
          <w:sz w:val="26"/>
        </w:rPr>
        <w:t>Line Items</w:t>
      </w:r>
    </w:p>
    <w:tbl>
      <w:tblPr>
        <w:tblW w:type="dxa" w:w="9360"/>
        <w:jc w:val="left"/>
        <w:tblLook w:firstColumn="1" w:firstRow="1" w:lastColumn="0" w:lastRow="0" w:noHBand="0" w:noVBand="1" w:val="04A0"/>
        <w:tblLayout w:type="fixed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900"/>
        <w:gridCol w:w="5460"/>
        <w:gridCol w:w="1500"/>
        <w:gridCol w:w="1500"/>
      </w:tblGrid>
      <w:tr>
        <w:tc>
          <w:tcPr>
            <w:tcW w:type="dxa" w:w="90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Qty</w:t>
            </w:r>
          </w:p>
        </w:tc>
        <w:tc>
          <w:tcPr>
            <w:tcW w:type="dxa" w:w="546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Description</w:t>
            </w:r>
          </w:p>
        </w:tc>
        <w:tc>
          <w:tcPr>
            <w:tcW w:type="dxa" w:w="150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Unit Amount</w:t>
            </w:r>
          </w:p>
        </w:tc>
        <w:tc>
          <w:tcPr>
            <w:tcW w:type="dxa" w:w="150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Line Total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1</w:t>
            </w:r>
          </w:p>
        </w:tc>
        <w:tc>
          <w:tcPr>
            <w:tcW w:type="dxa" w:w="54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Intercompany services related to travel industry know-how, supplier coordination, business requirements, testing, and operational feedback supporting the development and operation of the Bukeer platform.</w:t>
            </w:r>
          </w:p>
        </w:tc>
        <w:tc>
          <w:tcPr>
            <w:tcW w:type="dxa" w:w="1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$2,027.99</w:t>
            </w:r>
          </w:p>
        </w:tc>
        <w:tc>
          <w:tcPr>
            <w:tcW w:type="dxa" w:w="1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$2,027.99</w:t>
            </w:r>
          </w:p>
        </w:tc>
      </w:tr>
    </w:tbl>
    <w:tbl>
      <w:tblPr>
        <w:tblW w:type="dxa" w:w="4200"/>
        <w:jc w:val="right"/>
        <w:tblLook w:firstColumn="1" w:firstRow="1" w:lastColumn="0" w:lastRow="0" w:noHBand="0" w:noVBand="1" w:val="04A0"/>
        <w:tblLayout w:type="fixed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2100"/>
        <w:gridCol w:w="2100"/>
      </w:tblGrid>
      <w:tr>
        <w:tc>
          <w:tcPr>
            <w:tcW w:type="dxa" w:w="21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Subtotal</w:t>
            </w:r>
          </w:p>
        </w:tc>
        <w:tc>
          <w:tcPr>
            <w:tcW w:type="dxa" w:w="21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$2,027.99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Tax / VAT</w:t>
            </w:r>
          </w:p>
        </w:tc>
        <w:tc>
          <w:tcPr>
            <w:tcW w:type="dxa" w:w="21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$0.00</w:t>
            </w:r>
          </w:p>
        </w:tc>
      </w:tr>
      <w:tr>
        <w:tc>
          <w:tcPr>
            <w:tcW w:type="dxa" w:w="210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Total Due</w:t>
            </w:r>
          </w:p>
        </w:tc>
        <w:tc>
          <w:tcPr>
            <w:tcW w:type="dxa" w:w="210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$2,027.99</w:t>
            </w:r>
          </w:p>
        </w:tc>
      </w:tr>
    </w:tbl>
    <w:p>
      <w:pPr>
        <w:spacing w:before="160" w:after="80" w:line="264" w:lineRule="auto"/>
      </w:pPr>
      <w:r>
        <w:rPr>
          <w:rFonts w:ascii="Calibri" w:hAnsi="Calibri"/>
          <w:b/>
          <w:i w:val="0"/>
          <w:color w:val="2E74B5"/>
          <w:sz w:val="26"/>
        </w:rPr>
        <w:t>Business Purpose And Support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sz w:val="22"/>
        </w:rPr>
        <w:t>This intercompany services statement documents services, travel industry know-how, supplier coordination, business requirements, testing, and operational feedback provided by ColombiaTours.travel S.A.S. to Weppa Group LLC in connection with the Bukeer platform and the February 03, 2026 Mercury transaction.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sz w:val="22"/>
        </w:rPr>
        <w:t>The relationship is supported by the Intercompany Services and Platform Agreement between Weppa Group LLC and ColombiaTours.travel S.A.S. and by company registration documentation for both entities.</w:t>
      </w:r>
    </w:p>
    <w:p>
      <w:pPr>
        <w:spacing w:before="160" w:after="80" w:line="264" w:lineRule="auto"/>
      </w:pPr>
      <w:r>
        <w:rPr>
          <w:rFonts w:ascii="Calibri" w:hAnsi="Calibri"/>
          <w:b/>
          <w:i w:val="0"/>
          <w:color w:val="2E74B5"/>
          <w:sz w:val="26"/>
        </w:rPr>
        <w:t>Suggested Supporting Documents</w:t>
      </w:r>
    </w:p>
    <w:p>
      <w:pPr>
        <w:pStyle w:val="ListBullet"/>
        <w:spacing w:after="40"/>
        <w:ind w:left="720" w:hanging="360"/>
      </w:pPr>
      <w:r>
        <w:rPr>
          <w:rFonts w:ascii="Calibri" w:hAnsi="Calibri"/>
          <w:b w:val="0"/>
          <w:i w:val="0"/>
          <w:sz w:val="21"/>
        </w:rPr>
        <w:t>Signed Intercompany Services and Platform Agreement.</w:t>
      </w:r>
    </w:p>
    <w:p>
      <w:pPr>
        <w:pStyle w:val="ListBullet"/>
        <w:spacing w:after="40"/>
        <w:ind w:left="720" w:hanging="360"/>
      </w:pPr>
      <w:r>
        <w:rPr>
          <w:rFonts w:ascii="Calibri" w:hAnsi="Calibri"/>
          <w:b w:val="0"/>
          <w:i w:val="0"/>
          <w:sz w:val="21"/>
        </w:rPr>
        <w:t>ColombiaTours.travel S.A.S. Chamber of Commerce certificate and English summary translation.</w:t>
      </w:r>
    </w:p>
    <w:p>
      <w:pPr>
        <w:pStyle w:val="ListBullet"/>
        <w:spacing w:after="40"/>
        <w:ind w:left="720" w:hanging="360"/>
      </w:pPr>
      <w:r>
        <w:rPr>
          <w:rFonts w:ascii="Calibri" w:hAnsi="Calibri"/>
          <w:b w:val="0"/>
          <w:i w:val="0"/>
          <w:sz w:val="21"/>
        </w:rPr>
        <w:t>Weppa Group LLC formation/EIN documentation.</w:t>
      </w:r>
    </w:p>
    <w:p>
      <w:pPr>
        <w:pStyle w:val="ListBullet"/>
        <w:spacing w:after="40"/>
        <w:ind w:left="720" w:hanging="360"/>
      </w:pPr>
      <w:r>
        <w:rPr>
          <w:rFonts w:ascii="Calibri" w:hAnsi="Calibri"/>
          <w:b w:val="0"/>
          <w:i w:val="0"/>
          <w:sz w:val="21"/>
        </w:rPr>
        <w:t>Mercury request screenshot or statement identifying the February 03, 2026 transaction.</w:t>
      </w:r>
    </w:p>
    <w:p>
      <w:pPr>
        <w:pStyle w:val="ListBullet"/>
        <w:spacing w:after="40"/>
        <w:ind w:left="720" w:hanging="360"/>
      </w:pPr>
      <w:r>
        <w:rPr>
          <w:rFonts w:ascii="Calibri" w:hAnsi="Calibri"/>
          <w:b w:val="0"/>
          <w:i w:val="0"/>
          <w:sz w:val="21"/>
        </w:rPr>
        <w:t>Work notes, platform requirements, supplier coordination records, or operational support connected to these services where available.</w:t>
      </w:r>
    </w:p>
    <w:p>
      <w:pPr>
        <w:spacing w:before="120" w:after="60" w:line="264" w:lineRule="auto"/>
      </w:pPr>
      <w:r>
        <w:rPr>
          <w:rFonts w:ascii="Calibri" w:hAnsi="Calibri"/>
          <w:b/>
          <w:i w:val="0"/>
          <w:color w:val="2E74B5"/>
          <w:sz w:val="26"/>
        </w:rPr>
        <w:t>Certification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sz w:val="22"/>
        </w:rPr>
        <w:t>I certify that this statement is issued to document and reconcile the referenced intercompany services transaction and that the business purpose described above is accurate to the best of my knowledge.</w:t>
      </w:r>
    </w:p>
    <w:tbl>
      <w:tblPr>
        <w:tblW w:type="dxa" w:w="5200"/>
        <w:jc w:val="left"/>
        <w:tblLook w:firstColumn="1" w:firstRow="1" w:lastColumn="0" w:lastRow="0" w:noHBand="0" w:noVBand="1" w:val="04A0"/>
        <w:tblLayout w:type="fixed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5200"/>
      </w:tblGrid>
      <w:tr>
        <w:tc>
          <w:tcPr>
            <w:tcW w:type="dxa" w:w="5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Authorized Signature: _______________________________</w:t>
            </w:r>
          </w:p>
        </w:tc>
      </w:tr>
      <w:tr>
        <w:tc>
          <w:tcPr>
            <w:tcW w:type="dxa" w:w="5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Name: Yeison Gómez Gómez</w:t>
            </w:r>
          </w:p>
        </w:tc>
      </w:tr>
      <w:tr>
        <w:tc>
          <w:tcPr>
            <w:tcW w:type="dxa" w:w="5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Title: Legal Representative, ColombiaTours.travel S.A.S.</w:t>
            </w:r>
          </w:p>
        </w:tc>
      </w:tr>
      <w:tr>
        <w:tc>
          <w:tcPr>
            <w:tcW w:type="dxa" w:w="5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t>Date: May 6, 2026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06A74"/>
        <w:sz w:val="18"/>
      </w:rPr>
      <w:t>ColombiaTours.travel S.A.S. - Statement CT-WP-SVC-2026-0203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 w:val="0"/>
        <w:color w:val="606A74"/>
        <w:sz w:val="18"/>
      </w:rPr>
      <w:t>COLOMBIATOURS.TRAVEL S.A.S. | Invoice / Intercompany Services Statement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