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Calibri" w:hAnsi="Calibri"/>
          <w:b/>
          <w:i w:val="0"/>
          <w:color w:val="1F4D78"/>
          <w:sz w:val="36"/>
        </w:rPr>
        <w:t>SUMMARY ENGLISH TRANSLATION</w:t>
      </w:r>
    </w:p>
    <w:p>
      <w:pPr>
        <w:spacing w:before="0" w:after="240" w:line="264" w:lineRule="auto"/>
      </w:pPr>
      <w:r>
        <w:rPr>
          <w:rFonts w:ascii="Calibri" w:hAnsi="Calibri"/>
          <w:b w:val="0"/>
          <w:i w:val="0"/>
          <w:color w:val="606A74"/>
          <w:sz w:val="26"/>
        </w:rPr>
        <w:t>COLOMBIATOURS.TRAVEL SAS - Chamber of Commerce Certificate</w:t>
      </w:r>
    </w:p>
    <w:p>
      <w:pPr>
        <w:spacing w:before="120" w:after="100" w:line="264" w:lineRule="auto"/>
      </w:pPr>
      <w:r>
        <w:rPr>
          <w:rFonts w:ascii="Calibri" w:hAnsi="Calibri"/>
          <w:b/>
          <w:i w:val="0"/>
          <w:color w:val="2E74B5"/>
          <w:sz w:val="26"/>
        </w:rPr>
        <w:t>Translation Note</w:t>
      </w:r>
    </w:p>
    <w:p>
      <w:pPr>
        <w:spacing w:before="0" w:after="120" w:line="264" w:lineRule="auto"/>
      </w:pPr>
      <w:r>
        <w:rPr>
          <w:rFonts w:ascii="Calibri" w:hAnsi="Calibri"/>
          <w:b w:val="0"/>
          <w:i/>
          <w:color w:val="606A74"/>
          <w:sz w:val="22"/>
        </w:rPr>
        <w:t>This is a convenience English summary of selected information from the official Spanish Certificate of Existence and Legal Representation issued by the Chamber of Commerce of Pereira on March 28, 2026. The original Spanish certificate is included and controls in case of discrepancy.</w:t>
      </w:r>
    </w:p>
    <w:tbl>
      <w:tblPr>
        <w:tblW w:type="dxa" w:w="9360"/>
        <w:jc w:val="left"/>
        <w:tblLook w:firstColumn="1" w:firstRow="1" w:lastColumn="0" w:lastRow="0" w:noHBand="0" w:noVBand="1" w:val="04A0"/>
        <w:tblLayout w:type="fixed"/>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700"/>
        <w:gridCol w:w="6660"/>
      </w:tblGrid>
      <w:tr>
        <w:tc>
          <w:tcPr>
            <w:tcW w:type="dxa" w:w="2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Legal Name</w:t>
            </w:r>
          </w:p>
        </w:tc>
        <w:tc>
          <w:tcPr>
            <w:tcW w:type="dxa" w:w="6660"/>
            <w:vAlign w:val="center"/>
            <w:tcMar>
              <w:top w:w="100" w:type="dxa"/>
              <w:start w:w="140" w:type="dxa"/>
              <w:bottom w:w="100" w:type="dxa"/>
              <w:end w:w="140" w:type="dxa"/>
            </w:tcMar>
          </w:tcPr>
          <w:p>
            <w:pPr>
              <w:spacing w:after="0" w:line="264" w:lineRule="auto"/>
            </w:pPr>
            <w:r/>
            <w:r>
              <w:rPr>
                <w:rFonts w:ascii="Calibri" w:hAnsi="Calibri"/>
                <w:b w:val="0"/>
                <w:i w:val="0"/>
                <w:sz w:val="21"/>
              </w:rPr>
              <w:t>COLOMBIATOURS.TRAVEL SAS</w:t>
            </w:r>
          </w:p>
        </w:tc>
      </w:tr>
      <w:tr>
        <w:tc>
          <w:tcPr>
            <w:tcW w:type="dxa" w:w="2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Trade Name / Abbreviation</w:t>
            </w:r>
          </w:p>
        </w:tc>
        <w:tc>
          <w:tcPr>
            <w:tcW w:type="dxa" w:w="6660"/>
            <w:vAlign w:val="center"/>
            <w:tcMar>
              <w:top w:w="100" w:type="dxa"/>
              <w:start w:w="140" w:type="dxa"/>
              <w:bottom w:w="100" w:type="dxa"/>
              <w:end w:w="140" w:type="dxa"/>
            </w:tcMar>
          </w:tcPr>
          <w:p>
            <w:pPr>
              <w:spacing w:after="0" w:line="264" w:lineRule="auto"/>
            </w:pPr>
            <w:r/>
            <w:r>
              <w:rPr>
                <w:rFonts w:ascii="Calibri" w:hAnsi="Calibri"/>
                <w:b w:val="0"/>
                <w:i w:val="0"/>
                <w:sz w:val="21"/>
              </w:rPr>
              <w:t>COLOMBIATOURS.TRAVEL</w:t>
            </w:r>
          </w:p>
        </w:tc>
      </w:tr>
      <w:tr>
        <w:tc>
          <w:tcPr>
            <w:tcW w:type="dxa" w:w="2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Tax ID / NIT</w:t>
            </w:r>
          </w:p>
        </w:tc>
        <w:tc>
          <w:tcPr>
            <w:tcW w:type="dxa" w:w="6660"/>
            <w:vAlign w:val="center"/>
            <w:tcMar>
              <w:top w:w="100" w:type="dxa"/>
              <w:start w:w="140" w:type="dxa"/>
              <w:bottom w:w="100" w:type="dxa"/>
              <w:end w:w="140" w:type="dxa"/>
            </w:tcMar>
          </w:tcPr>
          <w:p>
            <w:pPr>
              <w:spacing w:after="0" w:line="264" w:lineRule="auto"/>
            </w:pPr>
            <w:r/>
            <w:r>
              <w:rPr>
                <w:rFonts w:ascii="Calibri" w:hAnsi="Calibri"/>
                <w:b w:val="0"/>
                <w:i w:val="0"/>
                <w:sz w:val="21"/>
              </w:rPr>
              <w:t>901346505-1</w:t>
            </w:r>
          </w:p>
        </w:tc>
      </w:tr>
      <w:tr>
        <w:tc>
          <w:tcPr>
            <w:tcW w:type="dxa" w:w="2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Domicile</w:t>
            </w:r>
          </w:p>
        </w:tc>
        <w:tc>
          <w:tcPr>
            <w:tcW w:type="dxa" w:w="6660"/>
            <w:vAlign w:val="center"/>
            <w:tcMar>
              <w:top w:w="100" w:type="dxa"/>
              <w:start w:w="140" w:type="dxa"/>
              <w:bottom w:w="100" w:type="dxa"/>
              <w:end w:w="140" w:type="dxa"/>
            </w:tcMar>
          </w:tcPr>
          <w:p>
            <w:pPr>
              <w:spacing w:after="0" w:line="264" w:lineRule="auto"/>
            </w:pPr>
            <w:r/>
            <w:r>
              <w:rPr>
                <w:rFonts w:ascii="Calibri" w:hAnsi="Calibri"/>
                <w:b w:val="0"/>
                <w:i w:val="0"/>
                <w:sz w:val="21"/>
              </w:rPr>
              <w:t>Pereira, Risaralda, Colombia</w:t>
            </w:r>
          </w:p>
        </w:tc>
      </w:tr>
      <w:tr>
        <w:tc>
          <w:tcPr>
            <w:tcW w:type="dxa" w:w="2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Registration Number</w:t>
            </w:r>
          </w:p>
        </w:tc>
        <w:tc>
          <w:tcPr>
            <w:tcW w:type="dxa" w:w="6660"/>
            <w:vAlign w:val="center"/>
            <w:tcMar>
              <w:top w:w="100" w:type="dxa"/>
              <w:start w:w="140" w:type="dxa"/>
              <w:bottom w:w="100" w:type="dxa"/>
              <w:end w:w="140" w:type="dxa"/>
            </w:tcMar>
          </w:tcPr>
          <w:p>
            <w:pPr>
              <w:spacing w:after="0" w:line="264" w:lineRule="auto"/>
            </w:pPr>
            <w:r/>
            <w:r>
              <w:rPr>
                <w:rFonts w:ascii="Calibri" w:hAnsi="Calibri"/>
                <w:b w:val="0"/>
                <w:i w:val="0"/>
                <w:sz w:val="21"/>
              </w:rPr>
              <w:t>18170618</w:t>
            </w:r>
          </w:p>
        </w:tc>
      </w:tr>
      <w:tr>
        <w:tc>
          <w:tcPr>
            <w:tcW w:type="dxa" w:w="2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Registration Date</w:t>
            </w:r>
          </w:p>
        </w:tc>
        <w:tc>
          <w:tcPr>
            <w:tcW w:type="dxa" w:w="6660"/>
            <w:vAlign w:val="center"/>
            <w:tcMar>
              <w:top w:w="100" w:type="dxa"/>
              <w:start w:w="140" w:type="dxa"/>
              <w:bottom w:w="100" w:type="dxa"/>
              <w:end w:w="140" w:type="dxa"/>
            </w:tcMar>
          </w:tcPr>
          <w:p>
            <w:pPr>
              <w:spacing w:after="0" w:line="264" w:lineRule="auto"/>
            </w:pPr>
            <w:r/>
            <w:r>
              <w:rPr>
                <w:rFonts w:ascii="Calibri" w:hAnsi="Calibri"/>
                <w:b w:val="0"/>
                <w:i w:val="0"/>
                <w:sz w:val="21"/>
              </w:rPr>
              <w:t>December 6, 2019</w:t>
            </w:r>
          </w:p>
        </w:tc>
      </w:tr>
      <w:tr>
        <w:tc>
          <w:tcPr>
            <w:tcW w:type="dxa" w:w="2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Last Renewed Year</w:t>
            </w:r>
          </w:p>
        </w:tc>
        <w:tc>
          <w:tcPr>
            <w:tcW w:type="dxa" w:w="6660"/>
            <w:vAlign w:val="center"/>
            <w:tcMar>
              <w:top w:w="100" w:type="dxa"/>
              <w:start w:w="140" w:type="dxa"/>
              <w:bottom w:w="100" w:type="dxa"/>
              <w:end w:w="140" w:type="dxa"/>
            </w:tcMar>
          </w:tcPr>
          <w:p>
            <w:pPr>
              <w:spacing w:after="0" w:line="264" w:lineRule="auto"/>
            </w:pPr>
            <w:r/>
            <w:r>
              <w:rPr>
                <w:rFonts w:ascii="Calibri" w:hAnsi="Calibri"/>
                <w:b w:val="0"/>
                <w:i w:val="0"/>
                <w:sz w:val="21"/>
              </w:rPr>
              <w:t>2026; renewed March 28, 2026</w:t>
            </w:r>
          </w:p>
        </w:tc>
      </w:tr>
      <w:tr>
        <w:tc>
          <w:tcPr>
            <w:tcW w:type="dxa" w:w="2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Principal Address</w:t>
            </w:r>
          </w:p>
        </w:tc>
        <w:tc>
          <w:tcPr>
            <w:tcW w:type="dxa" w:w="6660"/>
            <w:vAlign w:val="center"/>
            <w:tcMar>
              <w:top w:w="100" w:type="dxa"/>
              <w:start w:w="140" w:type="dxa"/>
              <w:bottom w:w="100" w:type="dxa"/>
              <w:end w:w="140" w:type="dxa"/>
            </w:tcMar>
          </w:tcPr>
          <w:p>
            <w:pPr>
              <w:spacing w:after="0" w:line="264" w:lineRule="auto"/>
            </w:pPr>
            <w:r/>
            <w:r>
              <w:rPr>
                <w:rFonts w:ascii="Calibri" w:hAnsi="Calibri"/>
                <w:b w:val="0"/>
                <w:i w:val="0"/>
                <w:sz w:val="21"/>
              </w:rPr>
              <w:t>Carrera 17 Nro. 9 - 70 LC 2 Edificio Camellando, Pinares, Pereira, Risaralda, Colombia</w:t>
            </w:r>
          </w:p>
        </w:tc>
      </w:tr>
      <w:tr>
        <w:tc>
          <w:tcPr>
            <w:tcW w:type="dxa" w:w="2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Legal Representative</w:t>
            </w:r>
          </w:p>
        </w:tc>
        <w:tc>
          <w:tcPr>
            <w:tcW w:type="dxa" w:w="6660"/>
            <w:vAlign w:val="center"/>
            <w:tcMar>
              <w:top w:w="100" w:type="dxa"/>
              <w:start w:w="140" w:type="dxa"/>
              <w:bottom w:w="100" w:type="dxa"/>
              <w:end w:w="140" w:type="dxa"/>
            </w:tcMar>
          </w:tcPr>
          <w:p>
            <w:pPr>
              <w:spacing w:after="0" w:line="264" w:lineRule="auto"/>
            </w:pPr>
            <w:r/>
            <w:r>
              <w:rPr>
                <w:rFonts w:ascii="Calibri" w:hAnsi="Calibri"/>
                <w:b w:val="0"/>
                <w:i w:val="0"/>
                <w:sz w:val="21"/>
              </w:rPr>
              <w:t>Yeison Gómez Gómez, C.C. No. 1.088.265.628</w:t>
            </w:r>
          </w:p>
        </w:tc>
      </w:tr>
      <w:tr>
        <w:tc>
          <w:tcPr>
            <w:tcW w:type="dxa" w:w="2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Business Purpose</w:t>
            </w:r>
          </w:p>
        </w:tc>
        <w:tc>
          <w:tcPr>
            <w:tcW w:type="dxa" w:w="6660"/>
            <w:vAlign w:val="center"/>
            <w:tcMar>
              <w:top w:w="100" w:type="dxa"/>
              <w:start w:w="140" w:type="dxa"/>
              <w:bottom w:w="100" w:type="dxa"/>
              <w:end w:w="140" w:type="dxa"/>
            </w:tcMar>
          </w:tcPr>
          <w:p>
            <w:pPr>
              <w:spacing w:after="0" w:line="264" w:lineRule="auto"/>
            </w:pPr>
            <w:r/>
            <w:r>
              <w:rPr>
                <w:rFonts w:ascii="Calibri" w:hAnsi="Calibri"/>
                <w:b w:val="0"/>
                <w:i w:val="0"/>
                <w:sz w:val="21"/>
              </w:rPr>
              <w:t>Travel agencies, tour operators, reservation services, and related activities. The company may also carry out any other lawful economic activity in Colombia or abroad.</w:t>
            </w:r>
          </w:p>
        </w:tc>
      </w:tr>
      <w:tr>
        <w:tc>
          <w:tcPr>
            <w:tcW w:type="dxa" w:w="2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Main Economic Activities</w:t>
            </w:r>
          </w:p>
        </w:tc>
        <w:tc>
          <w:tcPr>
            <w:tcW w:type="dxa" w:w="6660"/>
            <w:vAlign w:val="center"/>
            <w:tcMar>
              <w:top w:w="100" w:type="dxa"/>
              <w:start w:w="140" w:type="dxa"/>
              <w:bottom w:w="100" w:type="dxa"/>
              <w:end w:w="140" w:type="dxa"/>
            </w:tcMar>
          </w:tcPr>
          <w:p>
            <w:pPr>
              <w:spacing w:after="0" w:line="264" w:lineRule="auto"/>
            </w:pPr>
            <w:r/>
            <w:r>
              <w:rPr>
                <w:rFonts w:ascii="Calibri" w:hAnsi="Calibri"/>
                <w:b w:val="0"/>
                <w:i w:val="0"/>
                <w:sz w:val="21"/>
              </w:rPr>
              <w:t>CIIU N7911, N7912, and M7310</w:t>
            </w:r>
          </w:p>
        </w:tc>
      </w:tr>
      <w:tr>
        <w:tc>
          <w:tcPr>
            <w:tcW w:type="dxa" w:w="2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Company Status</w:t>
            </w:r>
          </w:p>
        </w:tc>
        <w:tc>
          <w:tcPr>
            <w:tcW w:type="dxa" w:w="6660"/>
            <w:vAlign w:val="center"/>
            <w:tcMar>
              <w:top w:w="100" w:type="dxa"/>
              <w:start w:w="140" w:type="dxa"/>
              <w:bottom w:w="100" w:type="dxa"/>
              <w:end w:w="140" w:type="dxa"/>
            </w:tcMar>
          </w:tcPr>
          <w:p>
            <w:pPr>
              <w:spacing w:after="0" w:line="264" w:lineRule="auto"/>
            </w:pPr>
            <w:r/>
            <w:r>
              <w:rPr>
                <w:rFonts w:ascii="Calibri" w:hAnsi="Calibri"/>
                <w:b w:val="0"/>
                <w:i w:val="0"/>
                <w:sz w:val="21"/>
              </w:rPr>
              <w:t>The company is not dissolved and has indefinite duration.</w:t>
            </w:r>
          </w:p>
        </w:tc>
      </w:tr>
    </w:tbl>
    <w:p>
      <w:pPr>
        <w:spacing w:before="240" w:after="100" w:line="264" w:lineRule="auto"/>
      </w:pPr>
      <w:r>
        <w:rPr>
          <w:rFonts w:ascii="Calibri" w:hAnsi="Calibri"/>
          <w:b/>
          <w:i w:val="0"/>
          <w:color w:val="2E74B5"/>
          <w:sz w:val="26"/>
        </w:rPr>
        <w:t>Reviewer Context</w:t>
      </w:r>
    </w:p>
    <w:p>
      <w:pPr>
        <w:spacing w:before="0" w:after="120" w:line="264" w:lineRule="auto"/>
      </w:pPr>
      <w:r>
        <w:rPr>
          <w:rFonts w:ascii="Calibri" w:hAnsi="Calibri"/>
          <w:b w:val="0"/>
          <w:i w:val="0"/>
          <w:sz w:val="22"/>
        </w:rPr>
        <w:t>COLOMBIATOURS.TRAVEL SAS is the related Colombian travel operating company and current primary commercial user of Bukeer under common beneficial ownership with Weppa Group LLC.</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06A74"/>
        <w:sz w:val="18"/>
      </w:rPr>
      <w:t>English Summary - COLOMBIATOURS.TRAVEL SAS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06A74"/>
        <w:sz w:val="18"/>
      </w:rPr>
      <w:t>COLOMBIATOURS.TRAVEL SAS | English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