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Arial" w:hAnsi="Arial"/>
          <w:b/>
          <w:i w:val="0"/>
          <w:color w:val="0B2545"/>
          <w:sz w:val="36"/>
        </w:rPr>
        <w:t>SERVICES RECONCILIATION STATEMENT</w:t>
      </w:r>
    </w:p>
    <w:p>
      <w:pPr>
        <w:spacing w:before="0" w:after="280" w:line="276" w:lineRule="auto"/>
      </w:pPr>
      <w:r>
        <w:rPr>
          <w:rFonts w:ascii="Arial" w:hAnsi="Arial"/>
          <w:b w:val="0"/>
          <w:i w:val="0"/>
          <w:color w:val="007680"/>
          <w:sz w:val="25"/>
        </w:rPr>
        <w:t>COLOMBIATOURS - USD 2,027.99 - February 03, 2026</w:t>
      </w:r>
    </w:p>
    <w:tbl>
      <w:tblPr>
        <w:tblW w:type="dxa" w:w="9360"/>
        <w:jc w:val="left"/>
        <w:tblLook w:firstColumn="1" w:firstRow="1" w:lastColumn="0" w:lastRow="0" w:noHBand="0" w:noVBand="1" w:val="04A0"/>
        <w:tblLayout w:type="fixed"/>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2600"/>
        <w:gridCol w:w="6760"/>
      </w:tblGrid>
      <w:tr>
        <w:tc>
          <w:tcPr>
            <w:tcW w:type="dxa" w:w="2600"/>
            <w:shd w:fill="E8F4F5"/>
            <w:vAlign w:val="center"/>
            <w:tcMar>
              <w:top w:w="120" w:type="dxa"/>
              <w:start w:w="150" w:type="dxa"/>
              <w:bottom w:w="120" w:type="dxa"/>
              <w:end w:w="150" w:type="dxa"/>
            </w:tcMar>
          </w:tcPr>
          <w:p>
            <w:pPr>
              <w:spacing w:after="0" w:line="264" w:lineRule="auto"/>
            </w:pPr>
            <w:r/>
            <w:r>
              <w:rPr>
                <w:rFonts w:ascii="Arial" w:hAnsi="Arial"/>
                <w:b/>
                <w:i w:val="0"/>
                <w:color w:val="0B2545"/>
                <w:sz w:val="20"/>
              </w:rPr>
              <w:t>Prepared For</w:t>
            </w:r>
          </w:p>
        </w:tc>
        <w:tc>
          <w:tcPr>
            <w:tcW w:type="dxa" w:w="6760"/>
            <w:vAlign w:val="center"/>
            <w:tcMar>
              <w:top w:w="120" w:type="dxa"/>
              <w:start w:w="150" w:type="dxa"/>
              <w:bottom w:w="120" w:type="dxa"/>
              <w:end w:w="150" w:type="dxa"/>
            </w:tcMar>
          </w:tcPr>
          <w:p>
            <w:pPr>
              <w:spacing w:after="0" w:line="264" w:lineRule="auto"/>
            </w:pPr>
            <w:r/>
            <w:r>
              <w:rPr>
                <w:rFonts w:ascii="Arial" w:hAnsi="Arial"/>
                <w:b w:val="0"/>
                <w:i w:val="0"/>
                <w:sz w:val="20"/>
              </w:rPr>
              <w:t>Mercury information request regarding transaction at COLOMBIATOURS</w:t>
            </w:r>
          </w:p>
        </w:tc>
      </w:tr>
      <w:tr>
        <w:tc>
          <w:tcPr>
            <w:tcW w:type="dxa" w:w="2600"/>
            <w:shd w:fill="E8F4F5"/>
            <w:vAlign w:val="center"/>
            <w:tcMar>
              <w:top w:w="120" w:type="dxa"/>
              <w:start w:w="150" w:type="dxa"/>
              <w:bottom w:w="120" w:type="dxa"/>
              <w:end w:w="150" w:type="dxa"/>
            </w:tcMar>
          </w:tcPr>
          <w:p>
            <w:pPr>
              <w:spacing w:after="0" w:line="264" w:lineRule="auto"/>
            </w:pPr>
            <w:r/>
            <w:r>
              <w:rPr>
                <w:rFonts w:ascii="Arial" w:hAnsi="Arial"/>
                <w:b/>
                <w:i w:val="0"/>
                <w:color w:val="0B2545"/>
                <w:sz w:val="20"/>
              </w:rPr>
              <w:t>Prepared By</w:t>
            </w:r>
          </w:p>
        </w:tc>
        <w:tc>
          <w:tcPr>
            <w:tcW w:type="dxa" w:w="6760"/>
            <w:vAlign w:val="center"/>
            <w:tcMar>
              <w:top w:w="120" w:type="dxa"/>
              <w:start w:w="150" w:type="dxa"/>
              <w:bottom w:w="120" w:type="dxa"/>
              <w:end w:w="150" w:type="dxa"/>
            </w:tcMar>
          </w:tcPr>
          <w:p>
            <w:pPr>
              <w:spacing w:after="0" w:line="264" w:lineRule="auto"/>
            </w:pPr>
            <w:r/>
            <w:r>
              <w:rPr>
                <w:rFonts w:ascii="Arial" w:hAnsi="Arial"/>
                <w:b w:val="0"/>
                <w:i w:val="0"/>
                <w:sz w:val="20"/>
              </w:rPr>
              <w:t>ColombiaTours.travel S.A.S. / Weppa Group LLC</w:t>
            </w:r>
          </w:p>
        </w:tc>
      </w:tr>
      <w:tr>
        <w:tc>
          <w:tcPr>
            <w:tcW w:type="dxa" w:w="2600"/>
            <w:shd w:fill="E8F4F5"/>
            <w:vAlign w:val="center"/>
            <w:tcMar>
              <w:top w:w="120" w:type="dxa"/>
              <w:start w:w="150" w:type="dxa"/>
              <w:bottom w:w="120" w:type="dxa"/>
              <w:end w:w="150" w:type="dxa"/>
            </w:tcMar>
          </w:tcPr>
          <w:p>
            <w:pPr>
              <w:spacing w:after="0" w:line="264" w:lineRule="auto"/>
            </w:pPr>
            <w:r/>
            <w:r>
              <w:rPr>
                <w:rFonts w:ascii="Arial" w:hAnsi="Arial"/>
                <w:b/>
                <w:i w:val="0"/>
                <w:color w:val="0B2545"/>
                <w:sz w:val="20"/>
              </w:rPr>
              <w:t>Transaction Reference</w:t>
            </w:r>
          </w:p>
        </w:tc>
        <w:tc>
          <w:tcPr>
            <w:tcW w:type="dxa" w:w="6760"/>
            <w:vAlign w:val="center"/>
            <w:tcMar>
              <w:top w:w="120" w:type="dxa"/>
              <w:start w:w="150" w:type="dxa"/>
              <w:bottom w:w="120" w:type="dxa"/>
              <w:end w:w="150" w:type="dxa"/>
            </w:tcMar>
          </w:tcPr>
          <w:p>
            <w:pPr>
              <w:spacing w:after="0" w:line="264" w:lineRule="auto"/>
            </w:pPr>
            <w:r/>
            <w:r>
              <w:rPr>
                <w:rFonts w:ascii="Arial" w:hAnsi="Arial"/>
                <w:b w:val="0"/>
                <w:i w:val="0"/>
                <w:sz w:val="20"/>
              </w:rPr>
              <w:t>USD 2,027.99 at COLOMBIATOURS on February 03, 2026 (PT)</w:t>
            </w:r>
          </w:p>
        </w:tc>
      </w:tr>
      <w:tr>
        <w:tc>
          <w:tcPr>
            <w:tcW w:type="dxa" w:w="2600"/>
            <w:shd w:fill="E8F4F5"/>
            <w:vAlign w:val="center"/>
            <w:tcMar>
              <w:top w:w="120" w:type="dxa"/>
              <w:start w:w="150" w:type="dxa"/>
              <w:bottom w:w="120" w:type="dxa"/>
              <w:end w:w="150" w:type="dxa"/>
            </w:tcMar>
          </w:tcPr>
          <w:p>
            <w:pPr>
              <w:spacing w:after="0" w:line="264" w:lineRule="auto"/>
            </w:pPr>
            <w:r/>
            <w:r>
              <w:rPr>
                <w:rFonts w:ascii="Arial" w:hAnsi="Arial"/>
                <w:b/>
                <w:i w:val="0"/>
                <w:color w:val="0B2545"/>
                <w:sz w:val="20"/>
              </w:rPr>
              <w:t>Purpose</w:t>
            </w:r>
          </w:p>
        </w:tc>
        <w:tc>
          <w:tcPr>
            <w:tcW w:type="dxa" w:w="6760"/>
            <w:vAlign w:val="center"/>
            <w:tcMar>
              <w:top w:w="120" w:type="dxa"/>
              <w:start w:w="150" w:type="dxa"/>
              <w:bottom w:w="120" w:type="dxa"/>
              <w:end w:w="150" w:type="dxa"/>
            </w:tcMar>
          </w:tcPr>
          <w:p>
            <w:pPr>
              <w:spacing w:after="0" w:line="264" w:lineRule="auto"/>
            </w:pPr>
            <w:r/>
            <w:r>
              <w:rPr>
                <w:rFonts w:ascii="Arial" w:hAnsi="Arial"/>
                <w:b w:val="0"/>
                <w:i w:val="0"/>
                <w:sz w:val="20"/>
              </w:rPr>
              <w:t>Reconciliation of intercompany services related to travel industry know-how, supplier coordination, business requirements, testing, and operational feedback connected to Bukeer platform operations.</w:t>
            </w:r>
          </w:p>
        </w:tc>
      </w:tr>
    </w:tbl>
    <w:p>
      <w:pPr>
        <w:spacing w:before="280" w:after="100" w:line="276" w:lineRule="auto"/>
      </w:pPr>
      <w:r>
        <w:rPr>
          <w:rFonts w:ascii="Arial" w:hAnsi="Arial"/>
          <w:b/>
          <w:i w:val="0"/>
          <w:color w:val="0B2545"/>
          <w:sz w:val="26"/>
        </w:rPr>
        <w:t>Statement</w:t>
      </w:r>
    </w:p>
    <w:p>
      <w:pPr>
        <w:spacing w:before="0" w:after="120" w:line="276" w:lineRule="auto"/>
      </w:pPr>
      <w:r>
        <w:rPr>
          <w:rFonts w:ascii="Arial" w:hAnsi="Arial"/>
          <w:b w:val="0"/>
          <w:i w:val="0"/>
          <w:sz w:val="21"/>
        </w:rPr>
        <w:t>This statement reconciles the USD 2,027.99 intercompany services transaction referenced by Mercury on February 03, 2026. The payment relates to ColombiaTours.travel S.A.S. travel industry know-how, supplier coordination, business requirements, testing, and operational feedback connected to the Bukeer travel technology platform operated by Weppa Group LLC.</w:t>
      </w:r>
    </w:p>
    <w:p>
      <w:pPr>
        <w:spacing w:before="0" w:after="120" w:line="276" w:lineRule="auto"/>
      </w:pPr>
      <w:r>
        <w:rPr>
          <w:rFonts w:ascii="Arial" w:hAnsi="Arial"/>
          <w:b w:val="0"/>
          <w:i w:val="0"/>
          <w:sz w:val="21"/>
        </w:rPr>
        <w:t>The allocation below is provided as a services reconciliation for the referenced transaction. Supporting records may include the intercompany services statement, business requirements, supplier coordination records, Bukeer operational notes, platform feedback, and company documentation.</w:t>
      </w:r>
    </w:p>
    <w:p>
      <w:pPr>
        <w:spacing w:before="240" w:after="100" w:line="276" w:lineRule="auto"/>
      </w:pPr>
      <w:r>
        <w:rPr>
          <w:rFonts w:ascii="Arial" w:hAnsi="Arial"/>
          <w:b/>
          <w:i w:val="0"/>
          <w:color w:val="0B2545"/>
          <w:sz w:val="26"/>
        </w:rPr>
        <w:t>Services Allocation</w:t>
      </w:r>
    </w:p>
    <w:tbl>
      <w:tblPr>
        <w:tblW w:type="dxa" w:w="9360"/>
        <w:jc w:val="left"/>
        <w:tblLook w:firstColumn="1" w:firstRow="1" w:lastColumn="0" w:lastRow="0" w:noHBand="0" w:noVBand="1" w:val="04A0"/>
        <w:tblLayout w:type="fixed"/>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1700"/>
        <w:gridCol w:w="3960"/>
        <w:gridCol w:w="2400"/>
        <w:gridCol w:w="1300"/>
      </w:tblGrid>
      <w:tr>
        <w:tc>
          <w:tcPr>
            <w:tcW w:type="dxa" w:w="1700"/>
            <w:shd w:fill="E8F4F5"/>
            <w:vAlign w:val="center"/>
            <w:tcMar>
              <w:top w:w="120" w:type="dxa"/>
              <w:start w:w="150" w:type="dxa"/>
              <w:bottom w:w="120" w:type="dxa"/>
              <w:end w:w="150" w:type="dxa"/>
            </w:tcMar>
          </w:tcPr>
          <w:p>
            <w:pPr>
              <w:spacing w:after="0" w:line="264" w:lineRule="auto"/>
              <w:jc w:val="center"/>
            </w:pPr>
            <w:r/>
            <w:r>
              <w:rPr>
                <w:rFonts w:ascii="Arial" w:hAnsi="Arial"/>
                <w:b/>
                <w:i w:val="0"/>
                <w:color w:val="0B2545"/>
                <w:sz w:val="20"/>
              </w:rPr>
              <w:t>Category</w:t>
            </w:r>
          </w:p>
        </w:tc>
        <w:tc>
          <w:tcPr>
            <w:tcW w:type="dxa" w:w="3960"/>
            <w:shd w:fill="E8F4F5"/>
            <w:vAlign w:val="center"/>
            <w:tcMar>
              <w:top w:w="120" w:type="dxa"/>
              <w:start w:w="150" w:type="dxa"/>
              <w:bottom w:w="120" w:type="dxa"/>
              <w:end w:w="150" w:type="dxa"/>
            </w:tcMar>
          </w:tcPr>
          <w:p>
            <w:pPr>
              <w:spacing w:after="0" w:line="264" w:lineRule="auto"/>
              <w:jc w:val="center"/>
            </w:pPr>
            <w:r/>
            <w:r>
              <w:rPr>
                <w:rFonts w:ascii="Arial" w:hAnsi="Arial"/>
                <w:b/>
                <w:i w:val="0"/>
                <w:color w:val="0B2545"/>
                <w:sz w:val="20"/>
              </w:rPr>
              <w:t>Description</w:t>
            </w:r>
          </w:p>
        </w:tc>
        <w:tc>
          <w:tcPr>
            <w:tcW w:type="dxa" w:w="2400"/>
            <w:shd w:fill="E8F4F5"/>
            <w:vAlign w:val="center"/>
            <w:tcMar>
              <w:top w:w="120" w:type="dxa"/>
              <w:start w:w="150" w:type="dxa"/>
              <w:bottom w:w="120" w:type="dxa"/>
              <w:end w:w="150" w:type="dxa"/>
            </w:tcMar>
          </w:tcPr>
          <w:p>
            <w:pPr>
              <w:spacing w:after="0" w:line="264" w:lineRule="auto"/>
              <w:jc w:val="center"/>
            </w:pPr>
            <w:r/>
            <w:r>
              <w:rPr>
                <w:rFonts w:ascii="Arial" w:hAnsi="Arial"/>
                <w:b/>
                <w:i w:val="0"/>
                <w:color w:val="0B2545"/>
                <w:sz w:val="20"/>
              </w:rPr>
              <w:t>Support Type</w:t>
            </w:r>
          </w:p>
        </w:tc>
        <w:tc>
          <w:tcPr>
            <w:tcW w:type="dxa" w:w="1300"/>
            <w:shd w:fill="E8F4F5"/>
            <w:vAlign w:val="center"/>
            <w:tcMar>
              <w:top w:w="120" w:type="dxa"/>
              <w:start w:w="150" w:type="dxa"/>
              <w:bottom w:w="120" w:type="dxa"/>
              <w:end w:w="150" w:type="dxa"/>
            </w:tcMar>
          </w:tcPr>
          <w:p>
            <w:pPr>
              <w:spacing w:after="0" w:line="264" w:lineRule="auto"/>
              <w:jc w:val="center"/>
            </w:pPr>
            <w:r/>
            <w:r>
              <w:rPr>
                <w:rFonts w:ascii="Arial" w:hAnsi="Arial"/>
                <w:b/>
                <w:i w:val="0"/>
                <w:color w:val="0B2545"/>
                <w:sz w:val="20"/>
              </w:rPr>
              <w:t>Amount</w:t>
            </w:r>
          </w:p>
        </w:tc>
      </w:tr>
      <w:tr>
        <w:tc>
          <w:tcPr>
            <w:tcW w:type="dxa" w:w="1700"/>
            <w:vAlign w:val="center"/>
            <w:tcMar>
              <w:top w:w="120" w:type="dxa"/>
              <w:start w:w="150" w:type="dxa"/>
              <w:bottom w:w="120" w:type="dxa"/>
              <w:end w:w="150" w:type="dxa"/>
            </w:tcMar>
          </w:tcPr>
          <w:p>
            <w:pPr>
              <w:spacing w:after="0" w:line="264" w:lineRule="auto"/>
            </w:pPr>
            <w:r/>
            <w:r>
              <w:rPr>
                <w:rFonts w:ascii="Arial" w:hAnsi="Arial"/>
                <w:b w:val="0"/>
                <w:i w:val="0"/>
                <w:sz w:val="20"/>
              </w:rPr>
              <w:t>Know-How</w:t>
            </w:r>
          </w:p>
        </w:tc>
        <w:tc>
          <w:tcPr>
            <w:tcW w:type="dxa" w:w="3960"/>
            <w:vAlign w:val="center"/>
            <w:tcMar>
              <w:top w:w="120" w:type="dxa"/>
              <w:start w:w="150" w:type="dxa"/>
              <w:bottom w:w="120" w:type="dxa"/>
              <w:end w:w="150" w:type="dxa"/>
            </w:tcMar>
          </w:tcPr>
          <w:p>
            <w:pPr>
              <w:spacing w:after="0" w:line="264" w:lineRule="auto"/>
            </w:pPr>
            <w:r/>
            <w:r>
              <w:rPr>
                <w:rFonts w:ascii="Arial" w:hAnsi="Arial"/>
                <w:b w:val="0"/>
                <w:i w:val="0"/>
                <w:sz w:val="20"/>
              </w:rPr>
              <w:t>Travel industry know-how, supplier coordination, business requirements, testing, and operational feedback supporting Bukeer platform development and operation.</w:t>
            </w:r>
          </w:p>
        </w:tc>
        <w:tc>
          <w:tcPr>
            <w:tcW w:type="dxa" w:w="2400"/>
            <w:vAlign w:val="center"/>
            <w:tcMar>
              <w:top w:w="120" w:type="dxa"/>
              <w:start w:w="150" w:type="dxa"/>
              <w:bottom w:w="120" w:type="dxa"/>
              <w:end w:w="150" w:type="dxa"/>
            </w:tcMar>
          </w:tcPr>
          <w:p>
            <w:pPr>
              <w:spacing w:after="0" w:line="264" w:lineRule="auto"/>
            </w:pPr>
            <w:r/>
            <w:r>
              <w:rPr>
                <w:rFonts w:ascii="Arial" w:hAnsi="Arial"/>
                <w:b w:val="0"/>
                <w:i w:val="0"/>
                <w:sz w:val="20"/>
              </w:rPr>
              <w:t>Intercompany services statement; intercompany agreement; company records; work notes or platform requirements where available</w:t>
            </w:r>
          </w:p>
        </w:tc>
        <w:tc>
          <w:tcPr>
            <w:tcW w:type="dxa" w:w="1300"/>
            <w:vAlign w:val="center"/>
            <w:tcMar>
              <w:top w:w="120" w:type="dxa"/>
              <w:start w:w="150" w:type="dxa"/>
              <w:bottom w:w="120" w:type="dxa"/>
              <w:end w:w="150" w:type="dxa"/>
            </w:tcMar>
          </w:tcPr>
          <w:p>
            <w:pPr>
              <w:spacing w:after="0" w:line="264" w:lineRule="auto"/>
              <w:jc w:val="right"/>
            </w:pPr>
            <w:r/>
            <w:r>
              <w:rPr>
                <w:rFonts w:ascii="Arial" w:hAnsi="Arial"/>
                <w:b w:val="0"/>
                <w:i w:val="0"/>
                <w:sz w:val="20"/>
              </w:rPr>
              <w:t>USD 2,027.99</w:t>
            </w:r>
          </w:p>
        </w:tc>
      </w:tr>
      <w:tr>
        <w:tc>
          <w:tcPr>
            <w:tcW w:type="dxa" w:w="1700"/>
            <w:shd w:fill="F5F7FA"/>
            <w:vAlign w:val="center"/>
            <w:tcMar>
              <w:top w:w="120" w:type="dxa"/>
              <w:start w:w="150" w:type="dxa"/>
              <w:bottom w:w="120" w:type="dxa"/>
              <w:end w:w="150" w:type="dxa"/>
            </w:tcMar>
          </w:tcPr>
          <w:p>
            <w:pPr>
              <w:spacing w:after="0" w:line="264" w:lineRule="auto"/>
            </w:pPr>
            <w:r/>
            <w:r>
              <w:rPr>
                <w:rFonts w:ascii="Arial" w:hAnsi="Arial"/>
                <w:b/>
                <w:i w:val="0"/>
                <w:color w:val="0B2545"/>
                <w:sz w:val="20"/>
              </w:rPr>
              <w:t>Total</w:t>
            </w:r>
          </w:p>
        </w:tc>
        <w:tc>
          <w:tcPr>
            <w:tcW w:type="dxa" w:w="3960"/>
            <w:shd w:fill="F5F7FA"/>
            <w:vAlign w:val="center"/>
            <w:tcMar>
              <w:top w:w="120" w:type="dxa"/>
              <w:start w:w="150" w:type="dxa"/>
              <w:bottom w:w="120" w:type="dxa"/>
              <w:end w:w="150" w:type="dxa"/>
            </w:tcMar>
          </w:tcPr>
          <w:p>
            <w:pPr>
              <w:spacing w:after="0" w:line="264" w:lineRule="auto"/>
            </w:pPr>
            <w:r/>
            <w:r>
              <w:rPr>
                <w:rFonts w:ascii="Arial" w:hAnsi="Arial"/>
                <w:b/>
                <w:i w:val="0"/>
                <w:color w:val="0B2545"/>
                <w:sz w:val="20"/>
              </w:rPr>
              <w:t>Total reconciled amount for the February 03, 2026 Mercury transaction.</w:t>
            </w:r>
          </w:p>
        </w:tc>
        <w:tc>
          <w:tcPr>
            <w:tcW w:type="dxa" w:w="2400"/>
            <w:shd w:fill="F5F7FA"/>
            <w:vAlign w:val="center"/>
            <w:tcMar>
              <w:top w:w="120" w:type="dxa"/>
              <w:start w:w="150" w:type="dxa"/>
              <w:bottom w:w="120" w:type="dxa"/>
              <w:end w:w="150" w:type="dxa"/>
            </w:tcMar>
          </w:tcPr>
          <w:p>
            <w:pPr>
              <w:spacing w:after="0" w:line="264" w:lineRule="auto"/>
            </w:pPr>
            <w:r/>
            <w:r>
              <w:rPr>
                <w:rFonts w:ascii="Arial" w:hAnsi="Arial"/>
                <w:b/>
                <w:i w:val="0"/>
                <w:color w:val="0B2545"/>
                <w:sz w:val="20"/>
              </w:rPr>
              <w:t>Intercompany services statement</w:t>
            </w:r>
          </w:p>
        </w:tc>
        <w:tc>
          <w:tcPr>
            <w:tcW w:type="dxa" w:w="1300"/>
            <w:shd w:fill="F5F7FA"/>
            <w:vAlign w:val="center"/>
            <w:tcMar>
              <w:top w:w="120" w:type="dxa"/>
              <w:start w:w="150" w:type="dxa"/>
              <w:bottom w:w="120" w:type="dxa"/>
              <w:end w:w="150" w:type="dxa"/>
            </w:tcMar>
          </w:tcPr>
          <w:p>
            <w:pPr>
              <w:spacing w:after="0" w:line="264" w:lineRule="auto"/>
              <w:jc w:val="right"/>
            </w:pPr>
            <w:r/>
            <w:r>
              <w:rPr>
                <w:rFonts w:ascii="Arial" w:hAnsi="Arial"/>
                <w:b/>
                <w:i w:val="0"/>
                <w:color w:val="0B2545"/>
                <w:sz w:val="20"/>
              </w:rPr>
              <w:t>USD 2,027.99</w:t>
            </w:r>
          </w:p>
        </w:tc>
      </w:tr>
    </w:tbl>
    <w:p>
      <w:pPr>
        <w:spacing w:before="240" w:after="100" w:line="276" w:lineRule="auto"/>
      </w:pPr>
      <w:r>
        <w:rPr>
          <w:rFonts w:ascii="Arial" w:hAnsi="Arial"/>
          <w:b/>
          <w:i w:val="0"/>
          <w:color w:val="0B2545"/>
          <w:sz w:val="26"/>
        </w:rPr>
        <w:t>Compliance Clarification</w:t>
      </w:r>
    </w:p>
    <w:p>
      <w:pPr>
        <w:spacing w:before="0" w:after="120" w:line="276" w:lineRule="auto"/>
      </w:pPr>
      <w:r>
        <w:rPr>
          <w:rFonts w:ascii="Arial" w:hAnsi="Arial"/>
          <w:b w:val="0"/>
          <w:i/>
          <w:color w:val="5D6874"/>
          <w:sz w:val="21"/>
        </w:rPr>
        <w:t>This services reconciliation relates to legitimate commercial operations of related entities under common ownership. It is not intended to evidence financial services, escrow activity, money transmission, or payment processing services for unrelated third parties.</w:t>
      </w:r>
    </w:p>
    <w:p>
      <w:pPr>
        <w:spacing w:before="240" w:after="100" w:line="276" w:lineRule="auto"/>
      </w:pPr>
      <w:r>
        <w:rPr>
          <w:rFonts w:ascii="Arial" w:hAnsi="Arial"/>
          <w:b/>
          <w:i w:val="0"/>
          <w:color w:val="0B2545"/>
          <w:sz w:val="26"/>
        </w:rPr>
        <w:t>Certification</w:t>
      </w:r>
    </w:p>
    <w:p>
      <w:pPr>
        <w:spacing w:before="0" w:after="120" w:line="276" w:lineRule="auto"/>
      </w:pPr>
      <w:r>
        <w:rPr>
          <w:rFonts w:ascii="Arial" w:hAnsi="Arial"/>
          <w:b w:val="0"/>
          <w:i w:val="0"/>
          <w:sz w:val="21"/>
        </w:rPr>
        <w:t>I certify that this reconciliation is provided to explain the business purpose of the referenced intercompany services transaction and is accurate to the best of my knowledge based on available business records.</w:t>
      </w:r>
    </w:p>
    <w:tbl>
      <w:tblPr>
        <w:tblW w:type="dxa" w:w="5600"/>
        <w:jc w:val="left"/>
        <w:tblLook w:firstColumn="1" w:firstRow="1" w:lastColumn="0" w:lastRow="0" w:noHBand="0" w:noVBand="1" w:val="04A0"/>
        <w:tblLayout w:type="fixed"/>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5600"/>
      </w:tblGrid>
      <w:tr>
        <w:tc>
          <w:tcPr>
            <w:tcW w:type="dxa" w:w="5600"/>
            <w:vAlign w:val="center"/>
            <w:tcMar>
              <w:top w:w="120" w:type="dxa"/>
              <w:start w:w="150" w:type="dxa"/>
              <w:bottom w:w="120" w:type="dxa"/>
              <w:end w:w="150" w:type="dxa"/>
            </w:tcMar>
          </w:tcPr>
          <w:p>
            <w:pPr>
              <w:spacing w:after="0" w:line="264" w:lineRule="auto"/>
            </w:pPr>
            <w:r/>
            <w:r>
              <w:rPr>
                <w:rFonts w:ascii="Arial" w:hAnsi="Arial"/>
                <w:b w:val="0"/>
                <w:i w:val="0"/>
                <w:sz w:val="20"/>
              </w:rPr>
              <w:t>Authorized Signature: _______________________________</w:t>
            </w:r>
          </w:p>
        </w:tc>
      </w:tr>
      <w:tr>
        <w:tc>
          <w:tcPr>
            <w:tcW w:type="dxa" w:w="5600"/>
            <w:vAlign w:val="center"/>
            <w:tcMar>
              <w:top w:w="120" w:type="dxa"/>
              <w:start w:w="150" w:type="dxa"/>
              <w:bottom w:w="120" w:type="dxa"/>
              <w:end w:w="150" w:type="dxa"/>
            </w:tcMar>
          </w:tcPr>
          <w:p>
            <w:pPr>
              <w:spacing w:after="0" w:line="264" w:lineRule="auto"/>
            </w:pPr>
            <w:r/>
            <w:r>
              <w:rPr>
                <w:rFonts w:ascii="Arial" w:hAnsi="Arial"/>
                <w:b w:val="0"/>
                <w:i w:val="0"/>
                <w:sz w:val="20"/>
              </w:rPr>
              <w:t>Name: Yeison Gómez Gómez</w:t>
            </w:r>
          </w:p>
        </w:tc>
      </w:tr>
      <w:tr>
        <w:tc>
          <w:tcPr>
            <w:tcW w:type="dxa" w:w="5600"/>
            <w:vAlign w:val="center"/>
            <w:tcMar>
              <w:top w:w="120" w:type="dxa"/>
              <w:start w:w="150" w:type="dxa"/>
              <w:bottom w:w="120" w:type="dxa"/>
              <w:end w:w="150" w:type="dxa"/>
            </w:tcMar>
          </w:tcPr>
          <w:p>
            <w:pPr>
              <w:spacing w:after="0" w:line="264" w:lineRule="auto"/>
            </w:pPr>
            <w:r/>
            <w:r>
              <w:rPr>
                <w:rFonts w:ascii="Arial" w:hAnsi="Arial"/>
                <w:b w:val="0"/>
                <w:i w:val="0"/>
                <w:sz w:val="20"/>
              </w:rPr>
              <w:t>Title: Legal Representative, ColombiaTours.travel S.A.S.</w:t>
            </w:r>
          </w:p>
        </w:tc>
      </w:tr>
      <w:tr>
        <w:tc>
          <w:tcPr>
            <w:tcW w:type="dxa" w:w="5600"/>
            <w:vAlign w:val="center"/>
            <w:tcMar>
              <w:top w:w="120" w:type="dxa"/>
              <w:start w:w="150" w:type="dxa"/>
              <w:bottom w:w="120" w:type="dxa"/>
              <w:end w:w="150" w:type="dxa"/>
            </w:tcMar>
          </w:tcPr>
          <w:p>
            <w:r>
              <w:t>Date: May 6, 2026</w:t>
            </w:r>
          </w:p>
        </w:tc>
      </w:tr>
    </w:tbl>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D6874"/>
        <w:sz w:val="18"/>
      </w:rPr>
      <w:t>Services Reconciliation - COLOMBIATOURS - February 03,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5D6874"/>
        <w:sz w:val="18"/>
      </w:rPr>
      <w:t>Services Reconciliation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