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i w:val="0"/>
          <w:color w:val="0B2545"/>
          <w:sz w:val="36"/>
        </w:rPr>
        <w:t>OPERATIONAL RECONCILIATION STATEMENT</w:t>
      </w:r>
    </w:p>
    <w:p>
      <w:pPr>
        <w:spacing w:before="0" w:after="280" w:line="276" w:lineRule="auto"/>
      </w:pPr>
      <w:r>
        <w:rPr>
          <w:rFonts w:ascii="Arial" w:hAnsi="Arial"/>
          <w:b w:val="0"/>
          <w:i w:val="0"/>
          <w:color w:val="007680"/>
          <w:sz w:val="25"/>
        </w:rPr>
        <w:t>COLOMBIATOURS - USD 2,000.00 - January 21, 2026</w:t>
      </w:r>
    </w:p>
    <w:tbl>
      <w:tblPr>
        <w:tblW w:type="dxa" w:w="9360"/>
        <w:jc w:val="left"/>
        <w:tblLook w:firstColumn="1" w:firstRow="1" w:lastColumn="0" w:lastRow="0" w:noHBand="0" w:noVBand="1" w:val="04A0"/>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600"/>
        <w:gridCol w:w="6760"/>
      </w:tblGrid>
      <w:tr>
        <w:tc>
          <w:tcPr>
            <w:tcW w:type="dxa" w:w="2600"/>
            <w:shd w:fill="E8F4F5"/>
            <w:vAlign w:val="center"/>
            <w:tcMar>
              <w:top w:w="120" w:type="dxa"/>
              <w:start w:w="150" w:type="dxa"/>
              <w:bottom w:w="120" w:type="dxa"/>
              <w:end w:w="150" w:type="dxa"/>
            </w:tcMar>
          </w:tcPr>
          <w:p>
            <w:pPr>
              <w:spacing w:after="0" w:line="264" w:lineRule="auto"/>
            </w:pPr>
            <w:r/>
            <w:r>
              <w:rPr>
                <w:rFonts w:ascii="Arial" w:hAnsi="Arial"/>
                <w:b/>
                <w:i w:val="0"/>
                <w:color w:val="0B2545"/>
                <w:sz w:val="20"/>
              </w:rPr>
              <w:t>Prepared For</w:t>
            </w:r>
          </w:p>
        </w:tc>
        <w:tc>
          <w:tcPr>
            <w:tcW w:type="dxa" w:w="6760"/>
            <w:vAlign w:val="center"/>
            <w:tcMar>
              <w:top w:w="120" w:type="dxa"/>
              <w:start w:w="150" w:type="dxa"/>
              <w:bottom w:w="120" w:type="dxa"/>
              <w:end w:w="150" w:type="dxa"/>
            </w:tcMar>
          </w:tcPr>
          <w:p>
            <w:pPr>
              <w:spacing w:after="0" w:line="264" w:lineRule="auto"/>
            </w:pPr>
            <w:r/>
            <w:r>
              <w:rPr>
                <w:rFonts w:ascii="Arial" w:hAnsi="Arial"/>
                <w:b w:val="0"/>
                <w:i w:val="0"/>
                <w:sz w:val="20"/>
              </w:rPr>
              <w:t>Mercury information request regarding transaction at COLOMBIATOURS</w:t>
            </w:r>
          </w:p>
        </w:tc>
      </w:tr>
      <w:tr>
        <w:tc>
          <w:tcPr>
            <w:tcW w:type="dxa" w:w="2600"/>
            <w:shd w:fill="E8F4F5"/>
            <w:vAlign w:val="center"/>
            <w:tcMar>
              <w:top w:w="120" w:type="dxa"/>
              <w:start w:w="150" w:type="dxa"/>
              <w:bottom w:w="120" w:type="dxa"/>
              <w:end w:w="150" w:type="dxa"/>
            </w:tcMar>
          </w:tcPr>
          <w:p>
            <w:pPr>
              <w:spacing w:after="0" w:line="264" w:lineRule="auto"/>
            </w:pPr>
            <w:r/>
            <w:r>
              <w:rPr>
                <w:rFonts w:ascii="Arial" w:hAnsi="Arial"/>
                <w:b/>
                <w:i w:val="0"/>
                <w:color w:val="0B2545"/>
                <w:sz w:val="20"/>
              </w:rPr>
              <w:t>Prepared By</w:t>
            </w:r>
          </w:p>
        </w:tc>
        <w:tc>
          <w:tcPr>
            <w:tcW w:type="dxa" w:w="6760"/>
            <w:vAlign w:val="center"/>
            <w:tcMar>
              <w:top w:w="120" w:type="dxa"/>
              <w:start w:w="150" w:type="dxa"/>
              <w:bottom w:w="120" w:type="dxa"/>
              <w:end w:w="150" w:type="dxa"/>
            </w:tcMar>
          </w:tcPr>
          <w:p>
            <w:pPr>
              <w:spacing w:after="0" w:line="264" w:lineRule="auto"/>
            </w:pPr>
            <w:r/>
            <w:r>
              <w:rPr>
                <w:rFonts w:ascii="Arial" w:hAnsi="Arial"/>
                <w:b w:val="0"/>
                <w:i w:val="0"/>
                <w:sz w:val="20"/>
              </w:rPr>
              <w:t>ColombiaTours.travel S.A.S. / Weppa Group LLC</w:t>
            </w:r>
          </w:p>
        </w:tc>
      </w:tr>
      <w:tr>
        <w:tc>
          <w:tcPr>
            <w:tcW w:type="dxa" w:w="2600"/>
            <w:shd w:fill="E8F4F5"/>
            <w:vAlign w:val="center"/>
            <w:tcMar>
              <w:top w:w="120" w:type="dxa"/>
              <w:start w:w="150" w:type="dxa"/>
              <w:bottom w:w="120" w:type="dxa"/>
              <w:end w:w="150" w:type="dxa"/>
            </w:tcMar>
          </w:tcPr>
          <w:p>
            <w:pPr>
              <w:spacing w:after="0" w:line="264" w:lineRule="auto"/>
            </w:pPr>
            <w:r/>
            <w:r>
              <w:rPr>
                <w:rFonts w:ascii="Arial" w:hAnsi="Arial"/>
                <w:b/>
                <w:i w:val="0"/>
                <w:color w:val="0B2545"/>
                <w:sz w:val="20"/>
              </w:rPr>
              <w:t>Transaction Reference</w:t>
            </w:r>
          </w:p>
        </w:tc>
        <w:tc>
          <w:tcPr>
            <w:tcW w:type="dxa" w:w="6760"/>
            <w:vAlign w:val="center"/>
            <w:tcMar>
              <w:top w:w="120" w:type="dxa"/>
              <w:start w:w="150" w:type="dxa"/>
              <w:bottom w:w="120" w:type="dxa"/>
              <w:end w:w="150" w:type="dxa"/>
            </w:tcMar>
          </w:tcPr>
          <w:p>
            <w:pPr>
              <w:spacing w:after="0" w:line="264" w:lineRule="auto"/>
            </w:pPr>
            <w:r/>
            <w:r>
              <w:rPr>
                <w:rFonts w:ascii="Arial" w:hAnsi="Arial"/>
                <w:b w:val="0"/>
                <w:i w:val="0"/>
                <w:sz w:val="20"/>
              </w:rPr>
              <w:t>USD 2,000.00 at COLOMBIATOURS on January 21, 2026 (PT)</w:t>
            </w:r>
          </w:p>
        </w:tc>
      </w:tr>
      <w:tr>
        <w:tc>
          <w:tcPr>
            <w:tcW w:type="dxa" w:w="2600"/>
            <w:shd w:fill="E8F4F5"/>
            <w:vAlign w:val="center"/>
            <w:tcMar>
              <w:top w:w="120" w:type="dxa"/>
              <w:start w:w="150" w:type="dxa"/>
              <w:bottom w:w="120" w:type="dxa"/>
              <w:end w:w="150" w:type="dxa"/>
            </w:tcMar>
          </w:tcPr>
          <w:p>
            <w:pPr>
              <w:spacing w:after="0" w:line="264" w:lineRule="auto"/>
            </w:pPr>
            <w:r/>
            <w:r>
              <w:rPr>
                <w:rFonts w:ascii="Arial" w:hAnsi="Arial"/>
                <w:b/>
                <w:i w:val="0"/>
                <w:color w:val="0B2545"/>
                <w:sz w:val="20"/>
              </w:rPr>
              <w:t>Purpose</w:t>
            </w:r>
          </w:p>
        </w:tc>
        <w:tc>
          <w:tcPr>
            <w:tcW w:type="dxa" w:w="6760"/>
            <w:vAlign w:val="center"/>
            <w:tcMar>
              <w:top w:w="120" w:type="dxa"/>
              <w:start w:w="150" w:type="dxa"/>
              <w:bottom w:w="120" w:type="dxa"/>
              <w:end w:w="150" w:type="dxa"/>
            </w:tcMar>
          </w:tcPr>
          <w:p>
            <w:pPr>
              <w:spacing w:after="0" w:line="264" w:lineRule="auto"/>
            </w:pPr>
            <w:r/>
            <w:r>
              <w:rPr>
                <w:rFonts w:ascii="Arial" w:hAnsi="Arial"/>
                <w:b w:val="0"/>
                <w:i w:val="0"/>
                <w:sz w:val="20"/>
              </w:rPr>
              <w:t>Reconciliation of intercompany operational support, supplier coordination, reimbursements, and documented booking-related expenses connected to Bukeer/ColombiaTours operations.</w:t>
            </w:r>
          </w:p>
        </w:tc>
      </w:tr>
    </w:tbl>
    <w:p>
      <w:pPr>
        <w:spacing w:before="280" w:after="100" w:line="276" w:lineRule="auto"/>
      </w:pPr>
      <w:r>
        <w:rPr>
          <w:rFonts w:ascii="Arial" w:hAnsi="Arial"/>
          <w:b/>
          <w:i w:val="0"/>
          <w:color w:val="0B2545"/>
          <w:sz w:val="26"/>
        </w:rPr>
        <w:t>Statement</w:t>
      </w:r>
    </w:p>
    <w:p>
      <w:pPr>
        <w:spacing w:before="0" w:after="120" w:line="276" w:lineRule="auto"/>
      </w:pPr>
      <w:r>
        <w:rPr>
          <w:rFonts w:ascii="Arial" w:hAnsi="Arial"/>
          <w:b w:val="0"/>
          <w:i w:val="0"/>
          <w:sz w:val="21"/>
        </w:rPr>
        <w:t>This statement reconciles the USD 2,000.00 intercompany payment referenced by Mercury on January 21, 2026. The payment relates to ColombiaTours.travel S.A.S. operational support, supplier coordination, reimbursements, and documented booking-related obligations connected to the Bukeer travel technology platform operated by Weppa Group LLC.</w:t>
      </w:r>
    </w:p>
    <w:p>
      <w:pPr>
        <w:spacing w:before="0" w:after="120" w:line="276" w:lineRule="auto"/>
      </w:pPr>
      <w:r>
        <w:rPr>
          <w:rFonts w:ascii="Arial" w:hAnsi="Arial"/>
          <w:b w:val="0"/>
          <w:i w:val="0"/>
          <w:sz w:val="21"/>
        </w:rPr>
        <w:t>The allocation below is provided as a business reconciliation for the referenced transaction. Supporting records may include invoices, booking records, supplier receipts, Bukeer operational records, payment processor reports, and company documentation.</w:t>
      </w:r>
    </w:p>
    <w:p>
      <w:pPr>
        <w:spacing w:before="240" w:after="100" w:line="276" w:lineRule="auto"/>
      </w:pPr>
      <w:r>
        <w:rPr>
          <w:rFonts w:ascii="Arial" w:hAnsi="Arial"/>
          <w:b/>
          <w:i w:val="0"/>
          <w:color w:val="0B2545"/>
          <w:sz w:val="26"/>
        </w:rPr>
        <w:t>Reconciliation Allocation</w:t>
      </w:r>
    </w:p>
    <w:tbl>
      <w:tblPr>
        <w:tblW w:type="dxa" w:w="9360"/>
        <w:jc w:val="left"/>
        <w:tblLook w:firstColumn="1" w:firstRow="1" w:lastColumn="0" w:lastRow="0" w:noHBand="0" w:noVBand="1" w:val="04A0"/>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700"/>
        <w:gridCol w:w="3960"/>
        <w:gridCol w:w="2400"/>
        <w:gridCol w:w="1300"/>
      </w:tblGrid>
      <w:tr>
        <w:tc>
          <w:tcPr>
            <w:tcW w:type="dxa" w:w="1700"/>
            <w:shd w:fill="E8F4F5"/>
            <w:vAlign w:val="center"/>
            <w:tcMar>
              <w:top w:w="120" w:type="dxa"/>
              <w:start w:w="150" w:type="dxa"/>
              <w:bottom w:w="120" w:type="dxa"/>
              <w:end w:w="150" w:type="dxa"/>
            </w:tcMar>
          </w:tcPr>
          <w:p>
            <w:pPr>
              <w:spacing w:after="0" w:line="264" w:lineRule="auto"/>
              <w:jc w:val="center"/>
            </w:pPr>
            <w:r/>
            <w:r>
              <w:rPr>
                <w:rFonts w:ascii="Arial" w:hAnsi="Arial"/>
                <w:b/>
                <w:i w:val="0"/>
                <w:color w:val="0B2545"/>
                <w:sz w:val="20"/>
              </w:rPr>
              <w:t>Category</w:t>
            </w:r>
          </w:p>
        </w:tc>
        <w:tc>
          <w:tcPr>
            <w:tcW w:type="dxa" w:w="3960"/>
            <w:shd w:fill="E8F4F5"/>
            <w:vAlign w:val="center"/>
            <w:tcMar>
              <w:top w:w="120" w:type="dxa"/>
              <w:start w:w="150" w:type="dxa"/>
              <w:bottom w:w="120" w:type="dxa"/>
              <w:end w:w="150" w:type="dxa"/>
            </w:tcMar>
          </w:tcPr>
          <w:p>
            <w:pPr>
              <w:spacing w:after="0" w:line="264" w:lineRule="auto"/>
              <w:jc w:val="center"/>
            </w:pPr>
            <w:r/>
            <w:r>
              <w:rPr>
                <w:rFonts w:ascii="Arial" w:hAnsi="Arial"/>
                <w:b/>
                <w:i w:val="0"/>
                <w:color w:val="0B2545"/>
                <w:sz w:val="20"/>
              </w:rPr>
              <w:t>Description</w:t>
            </w:r>
          </w:p>
        </w:tc>
        <w:tc>
          <w:tcPr>
            <w:tcW w:type="dxa" w:w="2400"/>
            <w:shd w:fill="E8F4F5"/>
            <w:vAlign w:val="center"/>
            <w:tcMar>
              <w:top w:w="120" w:type="dxa"/>
              <w:start w:w="150" w:type="dxa"/>
              <w:bottom w:w="120" w:type="dxa"/>
              <w:end w:w="150" w:type="dxa"/>
            </w:tcMar>
          </w:tcPr>
          <w:p>
            <w:pPr>
              <w:spacing w:after="0" w:line="264" w:lineRule="auto"/>
              <w:jc w:val="center"/>
            </w:pPr>
            <w:r/>
            <w:r>
              <w:rPr>
                <w:rFonts w:ascii="Arial" w:hAnsi="Arial"/>
                <w:b/>
                <w:i w:val="0"/>
                <w:color w:val="0B2545"/>
                <w:sz w:val="20"/>
              </w:rPr>
              <w:t>Support Type</w:t>
            </w:r>
          </w:p>
        </w:tc>
        <w:tc>
          <w:tcPr>
            <w:tcW w:type="dxa" w:w="1300"/>
            <w:shd w:fill="E8F4F5"/>
            <w:vAlign w:val="center"/>
            <w:tcMar>
              <w:top w:w="120" w:type="dxa"/>
              <w:start w:w="150" w:type="dxa"/>
              <w:bottom w:w="120" w:type="dxa"/>
              <w:end w:w="150" w:type="dxa"/>
            </w:tcMar>
          </w:tcPr>
          <w:p>
            <w:pPr>
              <w:spacing w:after="0" w:line="264" w:lineRule="auto"/>
              <w:jc w:val="center"/>
            </w:pPr>
            <w:r/>
            <w:r>
              <w:rPr>
                <w:rFonts w:ascii="Arial" w:hAnsi="Arial"/>
                <w:b/>
                <w:i w:val="0"/>
                <w:color w:val="0B2545"/>
                <w:sz w:val="20"/>
              </w:rPr>
              <w:t>Amount</w:t>
            </w:r>
          </w:p>
        </w:tc>
      </w:tr>
      <w:tr>
        <w:tc>
          <w:tcPr>
            <w:tcW w:type="dxa" w:w="1700"/>
            <w:vAlign w:val="center"/>
            <w:tcMar>
              <w:top w:w="120" w:type="dxa"/>
              <w:start w:w="150" w:type="dxa"/>
              <w:bottom w:w="120" w:type="dxa"/>
              <w:end w:w="150" w:type="dxa"/>
            </w:tcMar>
          </w:tcPr>
          <w:p>
            <w:pPr>
              <w:spacing w:after="0" w:line="264" w:lineRule="auto"/>
            </w:pPr>
            <w:r/>
            <w:r>
              <w:rPr>
                <w:rFonts w:ascii="Arial" w:hAnsi="Arial"/>
                <w:b w:val="0"/>
                <w:i w:val="0"/>
                <w:sz w:val="20"/>
              </w:rPr>
              <w:t>Operations</w:t>
            </w:r>
          </w:p>
        </w:tc>
        <w:tc>
          <w:tcPr>
            <w:tcW w:type="dxa" w:w="3960"/>
            <w:vAlign w:val="center"/>
            <w:tcMar>
              <w:top w:w="120" w:type="dxa"/>
              <w:start w:w="150" w:type="dxa"/>
              <w:bottom w:w="120" w:type="dxa"/>
              <w:end w:w="150" w:type="dxa"/>
            </w:tcMar>
          </w:tcPr>
          <w:p>
            <w:pPr>
              <w:spacing w:after="0" w:line="264" w:lineRule="auto"/>
            </w:pPr>
            <w:r/>
            <w:r>
              <w:rPr>
                <w:rFonts w:ascii="Arial" w:hAnsi="Arial"/>
                <w:b w:val="0"/>
                <w:i w:val="0"/>
                <w:sz w:val="20"/>
              </w:rPr>
              <w:t>Operational support, supplier coordination, reimbursements, and documented booking-related reconciliation connected to Bukeer/ColombiaTours operations.</w:t>
            </w:r>
          </w:p>
        </w:tc>
        <w:tc>
          <w:tcPr>
            <w:tcW w:type="dxa" w:w="2400"/>
            <w:vAlign w:val="center"/>
            <w:tcMar>
              <w:top w:w="120" w:type="dxa"/>
              <w:start w:w="150" w:type="dxa"/>
              <w:bottom w:w="120" w:type="dxa"/>
              <w:end w:w="150" w:type="dxa"/>
            </w:tcMar>
          </w:tcPr>
          <w:p>
            <w:pPr>
              <w:spacing w:after="0" w:line="264" w:lineRule="auto"/>
            </w:pPr>
            <w:r/>
            <w:r>
              <w:rPr>
                <w:rFonts w:ascii="Arial" w:hAnsi="Arial"/>
                <w:b w:val="0"/>
                <w:i w:val="0"/>
                <w:sz w:val="20"/>
              </w:rPr>
              <w:t>Invoice / reimbursement statement; intercompany agreement; company records; booking/supplier support where available</w:t>
            </w:r>
          </w:p>
        </w:tc>
        <w:tc>
          <w:tcPr>
            <w:tcW w:type="dxa" w:w="1300"/>
            <w:vAlign w:val="center"/>
            <w:tcMar>
              <w:top w:w="120" w:type="dxa"/>
              <w:start w:w="150" w:type="dxa"/>
              <w:bottom w:w="120" w:type="dxa"/>
              <w:end w:w="150" w:type="dxa"/>
            </w:tcMar>
          </w:tcPr>
          <w:p>
            <w:pPr>
              <w:spacing w:after="0" w:line="264" w:lineRule="auto"/>
              <w:jc w:val="right"/>
            </w:pPr>
            <w:r/>
            <w:r>
              <w:rPr>
                <w:rFonts w:ascii="Arial" w:hAnsi="Arial"/>
                <w:b w:val="0"/>
                <w:i w:val="0"/>
                <w:sz w:val="20"/>
              </w:rPr>
              <w:t>USD 2,000.00</w:t>
            </w:r>
          </w:p>
        </w:tc>
      </w:tr>
      <w:tr>
        <w:tc>
          <w:tcPr>
            <w:tcW w:type="dxa" w:w="1700"/>
            <w:shd w:fill="F5F7FA"/>
            <w:vAlign w:val="center"/>
            <w:tcMar>
              <w:top w:w="120" w:type="dxa"/>
              <w:start w:w="150" w:type="dxa"/>
              <w:bottom w:w="120" w:type="dxa"/>
              <w:end w:w="150" w:type="dxa"/>
            </w:tcMar>
          </w:tcPr>
          <w:p>
            <w:pPr>
              <w:spacing w:after="0" w:line="264" w:lineRule="auto"/>
            </w:pPr>
            <w:r/>
            <w:r>
              <w:rPr>
                <w:rFonts w:ascii="Arial" w:hAnsi="Arial"/>
                <w:b/>
                <w:i w:val="0"/>
                <w:color w:val="0B2545"/>
                <w:sz w:val="20"/>
              </w:rPr>
              <w:t>Total</w:t>
            </w:r>
          </w:p>
        </w:tc>
        <w:tc>
          <w:tcPr>
            <w:tcW w:type="dxa" w:w="3960"/>
            <w:shd w:fill="F5F7FA"/>
            <w:vAlign w:val="center"/>
            <w:tcMar>
              <w:top w:w="120" w:type="dxa"/>
              <w:start w:w="150" w:type="dxa"/>
              <w:bottom w:w="120" w:type="dxa"/>
              <w:end w:w="150" w:type="dxa"/>
            </w:tcMar>
          </w:tcPr>
          <w:p>
            <w:pPr>
              <w:spacing w:after="0" w:line="264" w:lineRule="auto"/>
            </w:pPr>
            <w:r/>
            <w:r>
              <w:rPr>
                <w:rFonts w:ascii="Arial" w:hAnsi="Arial"/>
                <w:b/>
                <w:i w:val="0"/>
                <w:color w:val="0B2545"/>
                <w:sz w:val="20"/>
              </w:rPr>
              <w:t>Total reconciled amount for the January 21, 2026 Mercury transaction.</w:t>
            </w:r>
          </w:p>
        </w:tc>
        <w:tc>
          <w:tcPr>
            <w:tcW w:type="dxa" w:w="2400"/>
            <w:shd w:fill="F5F7FA"/>
            <w:vAlign w:val="center"/>
            <w:tcMar>
              <w:top w:w="120" w:type="dxa"/>
              <w:start w:w="150" w:type="dxa"/>
              <w:bottom w:w="120" w:type="dxa"/>
              <w:end w:w="150" w:type="dxa"/>
            </w:tcMar>
          </w:tcPr>
          <w:p>
            <w:pPr>
              <w:spacing w:after="0" w:line="264" w:lineRule="auto"/>
            </w:pPr>
            <w:r/>
            <w:r>
              <w:rPr>
                <w:rFonts w:ascii="Arial" w:hAnsi="Arial"/>
                <w:b/>
                <w:i w:val="0"/>
                <w:color w:val="0B2545"/>
                <w:sz w:val="20"/>
              </w:rPr>
              <w:t>Invoice / reimbursement statement</w:t>
            </w:r>
          </w:p>
        </w:tc>
        <w:tc>
          <w:tcPr>
            <w:tcW w:type="dxa" w:w="1300"/>
            <w:shd w:fill="F5F7FA"/>
            <w:vAlign w:val="center"/>
            <w:tcMar>
              <w:top w:w="120" w:type="dxa"/>
              <w:start w:w="150" w:type="dxa"/>
              <w:bottom w:w="120" w:type="dxa"/>
              <w:end w:w="150" w:type="dxa"/>
            </w:tcMar>
          </w:tcPr>
          <w:p>
            <w:pPr>
              <w:spacing w:after="0" w:line="264" w:lineRule="auto"/>
              <w:jc w:val="right"/>
            </w:pPr>
            <w:r/>
            <w:r>
              <w:rPr>
                <w:rFonts w:ascii="Arial" w:hAnsi="Arial"/>
                <w:b/>
                <w:i w:val="0"/>
                <w:color w:val="0B2545"/>
                <w:sz w:val="20"/>
              </w:rPr>
              <w:t>USD 2,000.00</w:t>
            </w:r>
          </w:p>
        </w:tc>
      </w:tr>
    </w:tbl>
    <w:p>
      <w:pPr>
        <w:spacing w:before="240" w:after="100" w:line="276" w:lineRule="auto"/>
      </w:pPr>
      <w:r>
        <w:rPr>
          <w:rFonts w:ascii="Arial" w:hAnsi="Arial"/>
          <w:b/>
          <w:i w:val="0"/>
          <w:color w:val="0B2545"/>
          <w:sz w:val="26"/>
        </w:rPr>
        <w:t>Compliance Clarification</w:t>
      </w:r>
    </w:p>
    <w:p>
      <w:pPr>
        <w:spacing w:before="0" w:after="120" w:line="276" w:lineRule="auto"/>
      </w:pPr>
      <w:r>
        <w:rPr>
          <w:rFonts w:ascii="Arial" w:hAnsi="Arial"/>
          <w:b w:val="0"/>
          <w:i/>
          <w:color w:val="5D6874"/>
          <w:sz w:val="21"/>
        </w:rPr>
        <w:t>This reconciliation relates to legitimate commercial operations of related entities under common ownership. It is not intended to evidence financial services, escrow activity, money transmission, or payment processing services for unrelated third parties.</w:t>
      </w:r>
    </w:p>
    <w:p>
      <w:pPr>
        <w:spacing w:before="240" w:after="100" w:line="276" w:lineRule="auto"/>
      </w:pPr>
      <w:r>
        <w:rPr>
          <w:rFonts w:ascii="Arial" w:hAnsi="Arial"/>
          <w:b/>
          <w:i w:val="0"/>
          <w:color w:val="0B2545"/>
          <w:sz w:val="26"/>
        </w:rPr>
        <w:t>Certification</w:t>
      </w:r>
    </w:p>
    <w:p>
      <w:pPr>
        <w:spacing w:before="0" w:after="120" w:line="276" w:lineRule="auto"/>
      </w:pPr>
      <w:r>
        <w:rPr>
          <w:rFonts w:ascii="Arial" w:hAnsi="Arial"/>
          <w:b w:val="0"/>
          <w:i w:val="0"/>
          <w:sz w:val="21"/>
        </w:rPr>
        <w:t>I certify that this reconciliation is provided to explain the business purpose of the referenced intercompany transaction and is accurate to the best of my knowledge based on available business records.</w:t>
      </w:r>
    </w:p>
    <w:tbl>
      <w:tblPr>
        <w:tblW w:type="dxa" w:w="5600"/>
        <w:jc w:val="left"/>
        <w:tblLook w:firstColumn="1" w:firstRow="1" w:lastColumn="0" w:lastRow="0" w:noHBand="0" w:noVBand="1" w:val="04A0"/>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5600"/>
      </w:tblGrid>
      <w:tr>
        <w:tc>
          <w:tcPr>
            <w:tcW w:type="dxa" w:w="5600"/>
            <w:vAlign w:val="center"/>
            <w:tcMar>
              <w:top w:w="120" w:type="dxa"/>
              <w:start w:w="150" w:type="dxa"/>
              <w:bottom w:w="120" w:type="dxa"/>
              <w:end w:w="150" w:type="dxa"/>
            </w:tcMar>
          </w:tcPr>
          <w:p>
            <w:pPr>
              <w:spacing w:after="0" w:line="264" w:lineRule="auto"/>
            </w:pPr>
            <w:r/>
            <w:r>
              <w:rPr>
                <w:rFonts w:ascii="Arial" w:hAnsi="Arial"/>
                <w:b w:val="0"/>
                <w:i w:val="0"/>
                <w:sz w:val="20"/>
              </w:rPr>
              <w:t>Authorized Signature: _______________________________</w:t>
            </w:r>
          </w:p>
        </w:tc>
      </w:tr>
      <w:tr>
        <w:tc>
          <w:tcPr>
            <w:tcW w:type="dxa" w:w="5600"/>
            <w:vAlign w:val="center"/>
            <w:tcMar>
              <w:top w:w="120" w:type="dxa"/>
              <w:start w:w="150" w:type="dxa"/>
              <w:bottom w:w="120" w:type="dxa"/>
              <w:end w:w="150" w:type="dxa"/>
            </w:tcMar>
          </w:tcPr>
          <w:p>
            <w:pPr>
              <w:spacing w:after="0" w:line="264" w:lineRule="auto"/>
            </w:pPr>
            <w:r/>
            <w:r>
              <w:rPr>
                <w:rFonts w:ascii="Arial" w:hAnsi="Arial"/>
                <w:b w:val="0"/>
                <w:i w:val="0"/>
                <w:sz w:val="20"/>
              </w:rPr>
              <w:t>Name: Yeison Gómez Gómez</w:t>
            </w:r>
          </w:p>
        </w:tc>
      </w:tr>
      <w:tr>
        <w:tc>
          <w:tcPr>
            <w:tcW w:type="dxa" w:w="5600"/>
            <w:vAlign w:val="center"/>
            <w:tcMar>
              <w:top w:w="120" w:type="dxa"/>
              <w:start w:w="150" w:type="dxa"/>
              <w:bottom w:w="120" w:type="dxa"/>
              <w:end w:w="150" w:type="dxa"/>
            </w:tcMar>
          </w:tcPr>
          <w:p>
            <w:pPr>
              <w:spacing w:after="0" w:line="264" w:lineRule="auto"/>
            </w:pPr>
            <w:r/>
            <w:r>
              <w:rPr>
                <w:rFonts w:ascii="Arial" w:hAnsi="Arial"/>
                <w:b w:val="0"/>
                <w:i w:val="0"/>
                <w:sz w:val="20"/>
              </w:rPr>
              <w:t>Title: Legal Representative, ColombiaTours.travel S.A.S.</w:t>
            </w:r>
          </w:p>
        </w:tc>
      </w:tr>
      <w:tr>
        <w:tc>
          <w:tcPr>
            <w:tcW w:type="dxa" w:w="5600"/>
            <w:vAlign w:val="center"/>
            <w:tcMar>
              <w:top w:w="120" w:type="dxa"/>
              <w:start w:w="150" w:type="dxa"/>
              <w:bottom w:w="120" w:type="dxa"/>
              <w:end w:w="150" w:type="dxa"/>
            </w:tcMar>
          </w:tcPr>
          <w:p>
            <w:r>
              <w:t>Date: May 6, 2026</w:t>
            </w:r>
          </w:p>
        </w:tc>
      </w:tr>
    </w:tbl>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D6874"/>
        <w:sz w:val="18"/>
      </w:rPr>
      <w:t>Operational Reconciliation - COLOMBIATOURS - January 21,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D6874"/>
        <w:sz w:val="18"/>
      </w:rPr>
      <w:t>Operational Reconciliation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