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1F4D78"/>
          <w:sz w:val="36"/>
        </w:rPr>
        <w:t>SUPPLIER PAYMENT RECONCILIATION STATEMENT</w:t>
      </w:r>
    </w:p>
    <w:p>
      <w:pPr>
        <w:spacing w:before="0" w:after="280" w:line="264" w:lineRule="auto"/>
      </w:pPr>
      <w:r>
        <w:rPr>
          <w:rFonts w:ascii="Calibri" w:hAnsi="Calibri"/>
          <w:b w:val="0"/>
          <w:i w:val="0"/>
          <w:color w:val="2E74B5"/>
          <w:sz w:val="26"/>
        </w:rPr>
        <w:t>PriceRes - USD 1,593.92 - March 31, 2026</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Prepared For</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Mercury information request regarding transaction at PriceRes</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Prepared By</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Weppa Group LLC / ColombiaTours.travel S.A.S.</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Transaction Reference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USD 1,593.92 at Price Res on March 31, 2026 (PT)</w:t>
            </w:r>
          </w:p>
        </w:tc>
      </w:tr>
      <w:tr>
        <w:tc>
          <w:tcPr>
            <w:tcW w:type="dxa" w:w="2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Purpose</w:t>
            </w:r>
          </w:p>
        </w:tc>
        <w:tc>
          <w:tcPr>
            <w:tcW w:type="dxa" w:w="6660"/>
            <w:vAlign w:val="center"/>
            <w:tcMar>
              <w:top w:w="100" w:type="dxa"/>
              <w:start w:w="140" w:type="dxa"/>
              <w:bottom w:w="100" w:type="dxa"/>
              <w:end w:w="140" w:type="dxa"/>
            </w:tcMar>
          </w:tcPr>
          <w:p>
            <w:pPr>
              <w:spacing w:after="0" w:line="264" w:lineRule="auto"/>
            </w:pPr>
            <w:r/>
            <w:r>
              <w:rPr>
                <w:rFonts w:ascii="Calibri" w:hAnsi="Calibri"/>
                <w:b w:val="0"/>
                <w:i w:val="0"/>
                <w:sz w:val="21"/>
              </w:rPr>
              <w:t>Reconciliation of supplier payment for booking fulfillment and documented reservation-related obligations connected to Bukeer/ColombiaTours operations.</w:t>
            </w:r>
          </w:p>
        </w:tc>
      </w:tr>
    </w:tbl>
    <w:p>
      <w:pPr>
        <w:spacing w:before="280" w:after="100" w:line="264" w:lineRule="auto"/>
      </w:pPr>
      <w:r>
        <w:rPr>
          <w:rFonts w:ascii="Calibri" w:hAnsi="Calibri"/>
          <w:b/>
          <w:i w:val="0"/>
          <w:color w:val="1F4D78"/>
          <w:sz w:val="26"/>
        </w:rPr>
        <w:t>Statement</w:t>
      </w:r>
    </w:p>
    <w:p>
      <w:pPr>
        <w:spacing w:before="0" w:after="120" w:line="264" w:lineRule="auto"/>
      </w:pPr>
      <w:r>
        <w:rPr>
          <w:rFonts w:ascii="Calibri" w:hAnsi="Calibri"/>
          <w:b w:val="0"/>
          <w:i w:val="0"/>
          <w:sz w:val="22"/>
        </w:rPr>
        <w:t>This statement reconciles the USD 1,593.92 supplier payment referenced by Mercury on March 31, 2026. The payment relates to PriceRes supplier costs for documented travel booking fulfillment connected to Bukeer/ColombiaTours operations.</w:t>
      </w:r>
    </w:p>
    <w:p>
      <w:pPr>
        <w:spacing w:before="240" w:after="100" w:line="264" w:lineRule="auto"/>
      </w:pPr>
      <w:r>
        <w:rPr>
          <w:rFonts w:ascii="Calibri" w:hAnsi="Calibri"/>
          <w:b/>
          <w:i w:val="0"/>
          <w:color w:val="1F4D78"/>
          <w:sz w:val="26"/>
        </w:rPr>
        <w:t>Reconciliation Allocation</w:t>
      </w:r>
    </w:p>
    <w:tbl>
      <w:tblPr>
        <w:tblW w:type="dxa" w:w="936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700"/>
        <w:gridCol w:w="3960"/>
        <w:gridCol w:w="2400"/>
        <w:gridCol w:w="1300"/>
      </w:tblGrid>
      <w:tr>
        <w:tc>
          <w:tcPr>
            <w:tcW w:type="dxa" w:w="17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Category</w:t>
            </w:r>
          </w:p>
        </w:tc>
        <w:tc>
          <w:tcPr>
            <w:tcW w:type="dxa" w:w="396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Description</w:t>
            </w:r>
          </w:p>
        </w:tc>
        <w:tc>
          <w:tcPr>
            <w:tcW w:type="dxa" w:w="24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Support Type</w:t>
            </w:r>
          </w:p>
        </w:tc>
        <w:tc>
          <w:tcPr>
            <w:tcW w:type="dxa" w:w="1300"/>
            <w:shd w:fill="E8EEF5"/>
            <w:vAlign w:val="center"/>
            <w:tcMar>
              <w:top w:w="100" w:type="dxa"/>
              <w:start w:w="140" w:type="dxa"/>
              <w:bottom w:w="100" w:type="dxa"/>
              <w:end w:w="140" w:type="dxa"/>
            </w:tcMar>
          </w:tcPr>
          <w:p>
            <w:pPr>
              <w:spacing w:after="0" w:line="264" w:lineRule="auto"/>
              <w:jc w:val="center"/>
            </w:pPr>
            <w:r/>
            <w:r>
              <w:rPr>
                <w:rFonts w:ascii="Calibri" w:hAnsi="Calibri"/>
                <w:b/>
                <w:i w:val="0"/>
                <w:color w:val="1F4D78"/>
                <w:sz w:val="21"/>
              </w:rPr>
              <w:t>Amount</w:t>
            </w:r>
          </w:p>
        </w:tc>
      </w:tr>
      <w:tr>
        <w:tc>
          <w:tcPr>
            <w:tcW w:type="dxa" w:w="1700"/>
            <w:vAlign w:val="center"/>
            <w:tcMar>
              <w:top w:w="100" w:type="dxa"/>
              <w:start w:w="140" w:type="dxa"/>
              <w:bottom w:w="100" w:type="dxa"/>
              <w:end w:w="140" w:type="dxa"/>
            </w:tcMar>
          </w:tcPr>
          <w:p>
            <w:pPr>
              <w:spacing w:after="0" w:line="264" w:lineRule="auto"/>
            </w:pPr>
            <w:r/>
            <w:r>
              <w:rPr>
                <w:rFonts w:ascii="Calibri" w:hAnsi="Calibri"/>
                <w:b w:val="0"/>
                <w:i w:val="0"/>
                <w:sz w:val="21"/>
              </w:rPr>
              <w:t>Supplier Payment</w:t>
            </w:r>
          </w:p>
        </w:tc>
        <w:tc>
          <w:tcPr>
            <w:tcW w:type="dxa" w:w="3960"/>
            <w:vAlign w:val="center"/>
            <w:tcMar>
              <w:top w:w="100" w:type="dxa"/>
              <w:start w:w="140" w:type="dxa"/>
              <w:bottom w:w="100" w:type="dxa"/>
              <w:end w:w="140" w:type="dxa"/>
            </w:tcMar>
          </w:tcPr>
          <w:p>
            <w:pPr>
              <w:spacing w:after="0" w:line="264" w:lineRule="auto"/>
            </w:pPr>
            <w:r/>
            <w:r>
              <w:rPr>
                <w:rFonts w:ascii="Calibri" w:hAnsi="Calibri"/>
                <w:b w:val="0"/>
                <w:i w:val="0"/>
                <w:sz w:val="21"/>
              </w:rPr>
              <w:t>PriceRes supplier payment for documented travel reservation fulfillment and booking-related obligations connected to Bukeer/ColombiaTours operations, supported by invoice PTM6-899853 issued to COLOMBIATOURS.TRAVEL for COP 5,846,158.42.</w:t>
            </w:r>
          </w:p>
        </w:tc>
        <w:tc>
          <w:tcPr>
            <w:tcW w:type="dxa" w:w="2400"/>
            <w:vAlign w:val="center"/>
            <w:tcMar>
              <w:top w:w="100" w:type="dxa"/>
              <w:start w:w="140" w:type="dxa"/>
              <w:bottom w:w="100" w:type="dxa"/>
              <w:end w:w="140" w:type="dxa"/>
            </w:tcMar>
          </w:tcPr>
          <w:p>
            <w:pPr>
              <w:spacing w:after="0" w:line="264" w:lineRule="auto"/>
            </w:pPr>
            <w:r/>
            <w:r>
              <w:rPr>
                <w:rFonts w:ascii="Calibri" w:hAnsi="Calibri"/>
                <w:b w:val="0"/>
                <w:i w:val="0"/>
                <w:sz w:val="21"/>
              </w:rPr>
              <w:t>PriceRes invoice PTM6-899853; booking confirmation; voucher; Bukeer or operational record where available</w:t>
            </w:r>
          </w:p>
        </w:tc>
        <w:tc>
          <w:tcPr>
            <w:tcW w:type="dxa" w:w="1300"/>
            <w:vAlign w:val="center"/>
            <w:tcMar>
              <w:top w:w="100" w:type="dxa"/>
              <w:start w:w="140" w:type="dxa"/>
              <w:bottom w:w="100" w:type="dxa"/>
              <w:end w:w="140" w:type="dxa"/>
            </w:tcMar>
          </w:tcPr>
          <w:p>
            <w:pPr>
              <w:spacing w:after="0" w:line="264" w:lineRule="auto"/>
              <w:jc w:val="right"/>
            </w:pPr>
            <w:r/>
            <w:r>
              <w:rPr>
                <w:rFonts w:ascii="Calibri" w:hAnsi="Calibri"/>
                <w:b w:val="0"/>
                <w:i w:val="0"/>
                <w:sz w:val="21"/>
              </w:rPr>
              <w:t>USD 1,593.92</w:t>
            </w:r>
          </w:p>
        </w:tc>
      </w:tr>
      <w:tr>
        <w:tc>
          <w:tcPr>
            <w:tcW w:type="dxa" w:w="17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Total</w:t>
            </w:r>
          </w:p>
        </w:tc>
        <w:tc>
          <w:tcPr>
            <w:tcW w:type="dxa" w:w="396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Total reconciled amount for the March 31, 2026 Mercury transaction.</w:t>
            </w:r>
          </w:p>
        </w:tc>
        <w:tc>
          <w:tcPr>
            <w:tcW w:type="dxa" w:w="2400"/>
            <w:shd w:fill="F2F4F7"/>
            <w:vAlign w:val="center"/>
            <w:tcMar>
              <w:top w:w="100" w:type="dxa"/>
              <w:start w:w="140" w:type="dxa"/>
              <w:bottom w:w="100" w:type="dxa"/>
              <w:end w:w="140" w:type="dxa"/>
            </w:tcMar>
          </w:tcPr>
          <w:p>
            <w:pPr>
              <w:spacing w:after="0" w:line="264" w:lineRule="auto"/>
            </w:pPr>
            <w:r/>
            <w:r>
              <w:rPr>
                <w:rFonts w:ascii="Calibri" w:hAnsi="Calibri"/>
                <w:b/>
                <w:i w:val="0"/>
                <w:color w:val="1F4D78"/>
                <w:sz w:val="21"/>
              </w:rPr>
              <w:t>Supplier payment explanation statement</w:t>
            </w:r>
          </w:p>
        </w:tc>
        <w:tc>
          <w:tcPr>
            <w:tcW w:type="dxa" w:w="1300"/>
            <w:shd w:fill="F2F4F7"/>
            <w:vAlign w:val="center"/>
            <w:tcMar>
              <w:top w:w="100" w:type="dxa"/>
              <w:start w:w="140" w:type="dxa"/>
              <w:bottom w:w="100" w:type="dxa"/>
              <w:end w:w="140" w:type="dxa"/>
            </w:tcMar>
          </w:tcPr>
          <w:p>
            <w:pPr>
              <w:spacing w:after="0" w:line="264" w:lineRule="auto"/>
              <w:jc w:val="right"/>
            </w:pPr>
            <w:r/>
            <w:r>
              <w:rPr>
                <w:rFonts w:ascii="Calibri" w:hAnsi="Calibri"/>
                <w:b/>
                <w:i w:val="0"/>
                <w:color w:val="1F4D78"/>
                <w:sz w:val="21"/>
              </w:rPr>
              <w:t>USD 1,593.92</w:t>
            </w:r>
          </w:p>
        </w:tc>
      </w:tr>
    </w:tbl>
    <w:p>
      <w:pPr>
        <w:spacing w:before="240" w:after="100" w:line="264" w:lineRule="auto"/>
      </w:pPr>
      <w:r>
        <w:rPr>
          <w:rFonts w:ascii="Calibri" w:hAnsi="Calibri"/>
          <w:b/>
          <w:i w:val="0"/>
          <w:color w:val="1F4D78"/>
          <w:sz w:val="26"/>
        </w:rPr>
        <w:t>Compliance Clarification</w:t>
      </w:r>
    </w:p>
    <w:p>
      <w:pPr>
        <w:spacing w:before="0" w:after="120" w:line="264" w:lineRule="auto"/>
      </w:pPr>
      <w:r>
        <w:rPr>
          <w:rFonts w:ascii="Calibri" w:hAnsi="Calibri"/>
          <w:b w:val="0"/>
          <w:i/>
          <w:color w:val="606A74"/>
          <w:sz w:val="22"/>
        </w:rPr>
        <w:t>This reconciliation relates to legitimate commercial travel operations and supplier payment obligations. It is not intended to evidence financial services, escrow activity, money transmission, or payment processing services for unrelated third parties.</w:t>
      </w:r>
    </w:p>
    <w:p>
      <w:pPr>
        <w:spacing w:before="240" w:after="100" w:line="264" w:lineRule="auto"/>
      </w:pPr>
      <w:r>
        <w:rPr>
          <w:rFonts w:ascii="Calibri" w:hAnsi="Calibri"/>
          <w:b/>
          <w:i w:val="0"/>
          <w:color w:val="1F4D78"/>
          <w:sz w:val="26"/>
        </w:rPr>
        <w:t>Certification</w:t>
      </w:r>
    </w:p>
    <w:p>
      <w:pPr>
        <w:spacing w:before="0" w:after="120" w:line="264" w:lineRule="auto"/>
      </w:pPr>
      <w:r>
        <w:rPr>
          <w:rFonts w:ascii="Calibri" w:hAnsi="Calibri"/>
          <w:b w:val="0"/>
          <w:i w:val="0"/>
          <w:sz w:val="22"/>
        </w:rPr>
        <w:t>I certify that this reconciliation is provided to explain the business purpose of the referenced supplier payment and is accurate to the best of my knowledge based on available business records.</w:t>
      </w:r>
    </w:p>
    <w:tbl>
      <w:tblPr>
        <w:tblW w:type="dxa" w:w="5600"/>
        <w:jc w:val="left"/>
        <w:tblLook w:firstColumn="1" w:firstRow="1" w:lastColumn="0" w:lastRow="0" w:noHBand="0" w:noVBand="1" w:val="04A0"/>
        <w:tblLayout w:type="fixed"/>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5600"/>
      </w:tblGrid>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Authorized Signature: _______________________________</w:t>
            </w:r>
          </w:p>
        </w:tc>
      </w:tr>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Name: Yeison Gómez</w:t>
            </w:r>
          </w:p>
        </w:tc>
      </w:tr>
      <w:tr>
        <w:tc>
          <w:tcPr>
            <w:tcW w:type="dxa" w:w="5600"/>
            <w:vAlign w:val="center"/>
            <w:tcMar>
              <w:top w:w="100" w:type="dxa"/>
              <w:start w:w="140" w:type="dxa"/>
              <w:bottom w:w="100" w:type="dxa"/>
              <w:end w:w="140" w:type="dxa"/>
            </w:tcMar>
          </w:tcPr>
          <w:p>
            <w:pPr>
              <w:spacing w:after="0" w:line="264" w:lineRule="auto"/>
            </w:pPr>
            <w:r/>
            <w:r>
              <w:rPr>
                <w:rFonts w:ascii="Calibri" w:hAnsi="Calibri"/>
                <w:b w:val="0"/>
                <w:i w:val="0"/>
                <w:sz w:val="21"/>
              </w:rPr>
              <w:t>Title: Owner / Authorized Representative, Weppa Group LLC</w:t>
            </w:r>
          </w:p>
        </w:tc>
      </w:tr>
      <w:tr>
        <w:tc>
          <w:tcPr>
            <w:tcW w:type="dxa" w:w="5600"/>
            <w:vAlign w:val="center"/>
            <w:tcMar>
              <w:top w:w="100" w:type="dxa"/>
              <w:start w:w="140" w:type="dxa"/>
              <w:bottom w:w="100" w:type="dxa"/>
              <w:end w:w="140" w:type="dxa"/>
            </w:tcMar>
          </w:tcPr>
          <w:p>
            <w:r>
              <w:t>Date: May 6, 2026</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A74"/>
        <w:sz w:val="18"/>
      </w:rPr>
      <w:t>Supplier Payment Reconciliation - PriceRes - March 31,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A74"/>
        <w:sz w:val="18"/>
      </w:rPr>
      <w:t>Supplier Payment Reconciliation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