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36"/>
        </w:rPr>
        <w:t>STRIPE SOURCE OF FUNDS NARRATIVE SUMMARY</w:t>
      </w:r>
    </w:p>
    <w:p>
      <w:pPr>
        <w:spacing w:before="0" w:after="240" w:line="264" w:lineRule="auto"/>
      </w:pPr>
      <w:r>
        <w:rPr>
          <w:rFonts w:ascii="Calibri" w:hAnsi="Calibri"/>
          <w:b w:val="0"/>
          <w:i w:val="0"/>
          <w:color w:val="606A74"/>
          <w:sz w:val="25"/>
        </w:rPr>
        <w:t>Weppa Group LLC - ColombiaTours.Travel SAS / Bukeer / Weppa Tech Services</w:t>
      </w:r>
    </w:p>
    <w:p>
      <w:pPr>
        <w:spacing w:before="120" w:after="100" w:line="264" w:lineRule="auto"/>
      </w:pPr>
      <w:r>
        <w:rPr>
          <w:rFonts w:ascii="Calibri" w:hAnsi="Calibri"/>
          <w:b/>
          <w:i w:val="0"/>
          <w:color w:val="2E74B5"/>
          <w:sz w:val="26"/>
        </w:rPr>
        <w:t>Purpose</w:t>
      </w:r>
    </w:p>
    <w:p>
      <w:pPr>
        <w:spacing w:before="0" w:after="120" w:line="264" w:lineRule="auto"/>
      </w:pPr>
      <w:r>
        <w:rPr>
          <w:rFonts w:ascii="Calibri" w:hAnsi="Calibri"/>
          <w:b w:val="0"/>
          <w:i w:val="0"/>
          <w:sz w:val="22"/>
        </w:rPr>
        <w:t>This summary organizes the Stripe activity reports included in this package. It is intended to help the reviewer identify the business revenue streams and verify that payouts were sent to the Mercury banking destination shown in the Stripe payout reports.</w:t>
      </w:r>
    </w:p>
    <w:p>
      <w:r>
        <w:rPr>
          <w:sz w:val="20"/>
        </w:rPr>
        <w:t>Stripe account structure: Stripe accounts and payouts referenced in this package are associated with Weppa Group LLC. The reports are provided to show lawful business revenue streams and payout destinations, not to describe a separate money transmission or third-party payment processing business.</w:t>
      </w:r>
    </w:p>
    <w:p>
      <w:r>
        <w:rPr>
          <w:sz w:val="20"/>
        </w:rPr>
        <w:t>Non-MSB clarification: Weppa Group LLC does not provide remittance, escrow, money transmission, or payment processing services for unrelated third parties. The ColombiaTours-related activity is documented as related-party business activity under common beneficial ownership and the intercompany agreement included in this package.</w:t>
      </w:r>
    </w:p>
    <w:p>
      <w:pPr>
        <w:spacing w:before="200" w:after="100" w:line="264" w:lineRule="auto"/>
      </w:pPr>
      <w:r>
        <w:rPr>
          <w:rFonts w:ascii="Calibri" w:hAnsi="Calibri"/>
          <w:b/>
          <w:i w:val="0"/>
          <w:color w:val="2E74B5"/>
          <w:sz w:val="26"/>
        </w:rPr>
        <w:t>Business Revenue Context</w:t>
      </w:r>
    </w:p>
    <w:p>
      <w:pPr>
        <w:spacing w:before="0" w:after="120" w:line="264" w:lineRule="auto"/>
      </w:pPr>
      <w:r>
        <w:rPr>
          <w:rFonts w:ascii="Calibri" w:hAnsi="Calibri"/>
          <w:b w:val="0"/>
          <w:i w:val="0"/>
          <w:sz w:val="22"/>
        </w:rPr>
        <w:t>ColombiaTours.Travel SAS is currently the primary travel operating company and commercial user of Bukeer. Bukeer platform/software revenue and Weppa technology service revenue are active but smaller revenue streams. The higher ColombiaTours-related Stripe activity reflects travel booking volume generated by the operating travel company, not a separate financial services activity.</w:t>
      </w:r>
    </w:p>
    <w:p>
      <w:pPr>
        <w:spacing w:before="200" w:after="100" w:line="264" w:lineRule="auto"/>
      </w:pPr>
      <w:r>
        <w:rPr>
          <w:rFonts w:ascii="Calibri" w:hAnsi="Calibri"/>
          <w:b/>
          <w:i w:val="0"/>
          <w:color w:val="2E74B5"/>
          <w:sz w:val="26"/>
        </w:rPr>
        <w:t>Stripe Reports Included</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2000"/>
        <w:gridCol w:w="1800"/>
        <w:gridCol w:w="3360"/>
      </w:tblGrid>
      <w:tr>
        <w:tc>
          <w:tcPr>
            <w:tcW w:type="dxa" w:w="22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Stripe Flow</w:t>
            </w:r>
          </w:p>
        </w:tc>
        <w:tc>
          <w:tcPr>
            <w:tcW w:type="dxa" w:w="20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All Activity Report</w:t>
            </w:r>
          </w:p>
        </w:tc>
        <w:tc>
          <w:tcPr>
            <w:tcW w:type="dxa" w:w="18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Payout Report</w:t>
            </w:r>
          </w:p>
        </w:tc>
        <w:tc>
          <w:tcPr>
            <w:tcW w:type="dxa" w:w="33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Destination</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ColombiaTours.Travel SAS</w:t>
            </w:r>
          </w:p>
        </w:tc>
        <w:tc>
          <w:tcPr>
            <w:tcW w:type="dxa" w:w="20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18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3360"/>
            <w:vAlign w:val="center"/>
            <w:tcMar>
              <w:top w:w="100" w:type="dxa"/>
              <w:start w:w="140" w:type="dxa"/>
              <w:bottom w:w="100" w:type="dxa"/>
              <w:end w:w="140" w:type="dxa"/>
            </w:tcMar>
          </w:tcPr>
          <w:p>
            <w:pPr>
              <w:spacing w:after="0" w:line="264" w:lineRule="auto"/>
            </w:pPr>
            <w:r/>
            <w:r>
              <w:rPr>
                <w:rFonts w:ascii="Calibri" w:hAnsi="Calibri"/>
                <w:b w:val="0"/>
                <w:i w:val="0"/>
                <w:sz w:val="19"/>
              </w:rPr>
              <w:t>COLUMN NA MERCURY, US, 3905</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Bukeer</w:t>
            </w:r>
          </w:p>
        </w:tc>
        <w:tc>
          <w:tcPr>
            <w:tcW w:type="dxa" w:w="20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18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3360"/>
            <w:vAlign w:val="center"/>
            <w:tcMar>
              <w:top w:w="100" w:type="dxa"/>
              <w:start w:w="140" w:type="dxa"/>
              <w:bottom w:w="100" w:type="dxa"/>
              <w:end w:w="140" w:type="dxa"/>
            </w:tcMar>
          </w:tcPr>
          <w:p>
            <w:pPr>
              <w:spacing w:after="0" w:line="264" w:lineRule="auto"/>
            </w:pPr>
            <w:r/>
            <w:r>
              <w:rPr>
                <w:rFonts w:ascii="Calibri" w:hAnsi="Calibri"/>
                <w:b w:val="0"/>
                <w:i w:val="0"/>
                <w:sz w:val="19"/>
              </w:rPr>
              <w:t>COLUMN NA MERCURY, US, 3905</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Weppa Tech Services</w:t>
            </w:r>
          </w:p>
        </w:tc>
        <w:tc>
          <w:tcPr>
            <w:tcW w:type="dxa" w:w="20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18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3360"/>
            <w:vAlign w:val="center"/>
            <w:tcMar>
              <w:top w:w="100" w:type="dxa"/>
              <w:start w:w="140" w:type="dxa"/>
              <w:bottom w:w="100" w:type="dxa"/>
              <w:end w:w="140" w:type="dxa"/>
            </w:tcMar>
          </w:tcPr>
          <w:p>
            <w:pPr>
              <w:spacing w:after="0" w:line="264" w:lineRule="auto"/>
            </w:pPr>
            <w:r/>
            <w:r>
              <w:rPr>
                <w:rFonts w:ascii="Calibri" w:hAnsi="Calibri"/>
                <w:b w:val="0"/>
                <w:i w:val="0"/>
                <w:sz w:val="19"/>
              </w:rPr>
              <w:t>COLUMN NA MERCURY, US, 3905</w:t>
            </w:r>
          </w:p>
        </w:tc>
      </w:tr>
    </w:tbl>
    <w:p>
      <w:pPr>
        <w:spacing w:before="200" w:after="100" w:line="264" w:lineRule="auto"/>
      </w:pPr>
      <w:r>
        <w:rPr>
          <w:rFonts w:ascii="Calibri" w:hAnsi="Calibri"/>
          <w:b/>
          <w:i w:val="0"/>
          <w:color w:val="2E74B5"/>
          <w:sz w:val="26"/>
        </w:rPr>
        <w:t>Accounting Summary From Stripe Exports</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500"/>
        <w:gridCol w:w="2200"/>
        <w:gridCol w:w="2200"/>
        <w:gridCol w:w="2460"/>
      </w:tblGrid>
      <w:tr>
        <w:tc>
          <w:tcPr>
            <w:tcW w:type="dxa" w:w="25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Stripe Flow</w:t>
            </w:r>
          </w:p>
        </w:tc>
        <w:tc>
          <w:tcPr>
            <w:tcW w:type="dxa" w:w="22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Gross Revenue</w:t>
            </w:r>
          </w:p>
        </w:tc>
        <w:tc>
          <w:tcPr>
            <w:tcW w:type="dxa" w:w="22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Net Revenue</w:t>
            </w:r>
          </w:p>
        </w:tc>
        <w:tc>
          <w:tcPr>
            <w:tcW w:type="dxa" w:w="24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Payouts To Mercury</w:t>
            </w:r>
          </w:p>
        </w:tc>
      </w:tr>
      <w:tr>
        <w:tc>
          <w:tcPr>
            <w:tcW w:type="dxa" w:w="2500"/>
            <w:vAlign w:val="center"/>
            <w:tcMar>
              <w:top w:w="100" w:type="dxa"/>
              <w:start w:w="140" w:type="dxa"/>
              <w:bottom w:w="100" w:type="dxa"/>
              <w:end w:w="140" w:type="dxa"/>
            </w:tcMar>
          </w:tcPr>
          <w:p>
            <w:pPr>
              <w:spacing w:after="0" w:line="264" w:lineRule="auto"/>
            </w:pPr>
            <w:r/>
            <w:r>
              <w:rPr>
                <w:rFonts w:ascii="Calibri" w:hAnsi="Calibri"/>
                <w:b w:val="0"/>
                <w:i w:val="0"/>
                <w:sz w:val="19"/>
              </w:rPr>
              <w:t>ColombiaTours.Travel SAS</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USD 220,879.19</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USD 210,215.11</w:t>
            </w:r>
          </w:p>
        </w:tc>
        <w:tc>
          <w:tcPr>
            <w:tcW w:type="dxa" w:w="2460"/>
            <w:vAlign w:val="center"/>
            <w:tcMar>
              <w:top w:w="100" w:type="dxa"/>
              <w:start w:w="140" w:type="dxa"/>
              <w:bottom w:w="100" w:type="dxa"/>
              <w:end w:w="140" w:type="dxa"/>
            </w:tcMar>
          </w:tcPr>
          <w:p>
            <w:pPr>
              <w:spacing w:after="0" w:line="264" w:lineRule="auto"/>
            </w:pPr>
            <w:r/>
            <w:r>
              <w:rPr>
                <w:rFonts w:ascii="Calibri" w:hAnsi="Calibri"/>
                <w:b w:val="0"/>
                <w:i w:val="0"/>
                <w:sz w:val="19"/>
              </w:rPr>
              <w:t>USD 216,218.61</w:t>
            </w:r>
          </w:p>
        </w:tc>
      </w:tr>
      <w:tr>
        <w:tc>
          <w:tcPr>
            <w:tcW w:type="dxa" w:w="2500"/>
            <w:vAlign w:val="center"/>
            <w:tcMar>
              <w:top w:w="100" w:type="dxa"/>
              <w:start w:w="140" w:type="dxa"/>
              <w:bottom w:w="100" w:type="dxa"/>
              <w:end w:w="140" w:type="dxa"/>
            </w:tcMar>
          </w:tcPr>
          <w:p>
            <w:pPr>
              <w:spacing w:after="0" w:line="264" w:lineRule="auto"/>
            </w:pPr>
            <w:r/>
            <w:r>
              <w:rPr>
                <w:rFonts w:ascii="Calibri" w:hAnsi="Calibri"/>
                <w:b w:val="0"/>
                <w:i w:val="0"/>
                <w:sz w:val="19"/>
              </w:rPr>
              <w:t>Bukeer</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USD 3,266.97</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USD 3,092.55</w:t>
            </w:r>
          </w:p>
        </w:tc>
        <w:tc>
          <w:tcPr>
            <w:tcW w:type="dxa" w:w="2460"/>
            <w:vAlign w:val="center"/>
            <w:tcMar>
              <w:top w:w="100" w:type="dxa"/>
              <w:start w:w="140" w:type="dxa"/>
              <w:bottom w:w="100" w:type="dxa"/>
              <w:end w:w="140" w:type="dxa"/>
            </w:tcMar>
          </w:tcPr>
          <w:p>
            <w:pPr>
              <w:spacing w:after="0" w:line="264" w:lineRule="auto"/>
            </w:pPr>
            <w:r/>
            <w:r>
              <w:rPr>
                <w:rFonts w:ascii="Calibri" w:hAnsi="Calibri"/>
                <w:b w:val="0"/>
                <w:i w:val="0"/>
                <w:sz w:val="19"/>
              </w:rPr>
              <w:t>USD 2,636.00</w:t>
            </w:r>
          </w:p>
        </w:tc>
      </w:tr>
      <w:tr>
        <w:tc>
          <w:tcPr>
            <w:tcW w:type="dxa" w:w="2500"/>
            <w:vAlign w:val="center"/>
            <w:tcMar>
              <w:top w:w="100" w:type="dxa"/>
              <w:start w:w="140" w:type="dxa"/>
              <w:bottom w:w="100" w:type="dxa"/>
              <w:end w:w="140" w:type="dxa"/>
            </w:tcMar>
          </w:tcPr>
          <w:p>
            <w:pPr>
              <w:spacing w:after="0" w:line="264" w:lineRule="auto"/>
            </w:pPr>
            <w:r/>
            <w:r>
              <w:rPr>
                <w:rFonts w:ascii="Calibri" w:hAnsi="Calibri"/>
                <w:b w:val="0"/>
                <w:i w:val="0"/>
                <w:sz w:val="19"/>
              </w:rPr>
              <w:t>Weppa Tech Services</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USD 5,667.67</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USD 5,381.65</w:t>
            </w:r>
          </w:p>
        </w:tc>
        <w:tc>
          <w:tcPr>
            <w:tcW w:type="dxa" w:w="2460"/>
            <w:vAlign w:val="center"/>
            <w:tcMar>
              <w:top w:w="100" w:type="dxa"/>
              <w:start w:w="140" w:type="dxa"/>
              <w:bottom w:w="100" w:type="dxa"/>
              <w:end w:w="140" w:type="dxa"/>
            </w:tcMar>
          </w:tcPr>
          <w:p>
            <w:pPr>
              <w:spacing w:after="0" w:line="264" w:lineRule="auto"/>
            </w:pPr>
            <w:r/>
            <w:r>
              <w:rPr>
                <w:rFonts w:ascii="Calibri" w:hAnsi="Calibri"/>
                <w:b w:val="0"/>
                <w:i w:val="0"/>
                <w:sz w:val="19"/>
              </w:rPr>
              <w:t>USD 6,255.00</w:t>
            </w:r>
          </w:p>
        </w:tc>
      </w:tr>
    </w:tbl>
    <w:p>
      <w:pPr>
        <w:spacing w:before="200" w:after="100" w:line="264" w:lineRule="auto"/>
      </w:pPr>
      <w:r>
        <w:rPr>
          <w:rFonts w:ascii="Calibri" w:hAnsi="Calibri"/>
          <w:b/>
          <w:i w:val="0"/>
          <w:color w:val="2E74B5"/>
          <w:sz w:val="26"/>
        </w:rPr>
        <w:t>Review Note</w:t>
      </w:r>
    </w:p>
    <w:p>
      <w:pPr>
        <w:spacing w:before="0" w:after="120" w:line="264" w:lineRule="auto"/>
      </w:pPr>
      <w:r>
        <w:rPr>
          <w:rFonts w:ascii="Calibri" w:hAnsi="Calibri"/>
          <w:b w:val="0"/>
          <w:i/>
          <w:color w:val="606A74"/>
          <w:sz w:val="22"/>
        </w:rPr>
        <w:t>The table above is a summary of the attached Stripe exports. The supporting CSV reports should be treated as the source records for transaction-level detail. All payout reports show paid payouts to COLUMN NA MERCURY, US, account ending 3905.</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Stripe Source of Funds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Stripe Source of Funds Narrative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